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6E775" w14:textId="77777777" w:rsidR="00B22482" w:rsidRPr="006D1BC4" w:rsidRDefault="00EB50F8" w:rsidP="00B22482">
      <w:pPr>
        <w:spacing w:after="240"/>
        <w:jc w:val="center"/>
      </w:pPr>
      <w:hyperlink r:id="rId8" w:history="1">
        <w:r w:rsidR="00B22482">
          <w:rPr>
            <w:color w:val="007FAB"/>
          </w:rPr>
          <w:t>Am J Otolaryngol 41 (2020) 102564</w:t>
        </w:r>
      </w:hyperlink>
    </w:p>
    <w:tbl>
      <w:tblPr>
        <w:tblOverlap w:val="never"/>
        <w:tblW w:w="0" w:type="auto"/>
        <w:tblBorders>
          <w:top w:val="single" w:sz="4" w:space="0" w:color="auto"/>
          <w:bottom w:val="single" w:sz="36" w:space="0" w:color="auto"/>
          <w:right w:val="single" w:sz="4" w:space="0" w:color="auto"/>
        </w:tblBorders>
        <w:tblLayout w:type="fixed"/>
        <w:tblCellMar>
          <w:left w:w="10" w:type="dxa"/>
          <w:right w:w="10" w:type="dxa"/>
        </w:tblCellMar>
        <w:tblLook w:val="0000" w:firstRow="0" w:lastRow="0" w:firstColumn="0" w:lastColumn="0" w:noHBand="0" w:noVBand="0"/>
      </w:tblPr>
      <w:tblGrid>
        <w:gridCol w:w="1542"/>
        <w:gridCol w:w="7711"/>
        <w:gridCol w:w="1451"/>
      </w:tblGrid>
      <w:tr w:rsidR="00B22482" w:rsidRPr="006D1BC4" w14:paraId="674E1016" w14:textId="77777777" w:rsidTr="008D2D99">
        <w:trPr>
          <w:cantSplit/>
        </w:trPr>
        <w:tc>
          <w:tcPr>
            <w:tcW w:w="1542" w:type="dxa"/>
            <w:vMerge w:val="restart"/>
            <w:shd w:val="clear" w:color="auto" w:fill="FFFFFF"/>
            <w:vAlign w:val="center"/>
          </w:tcPr>
          <w:p w14:paraId="043A3C43" w14:textId="77777777" w:rsidR="00B22482" w:rsidRPr="006D1BC4" w:rsidRDefault="00B22482" w:rsidP="008D2D99">
            <w:pPr>
              <w:rPr>
                <w:sz w:val="2"/>
                <w:szCs w:val="2"/>
              </w:rPr>
            </w:pPr>
            <w:r>
              <w:rPr>
                <w:noProof/>
                <w:lang w:eastAsia="ru-RU" w:bidi="ar-SA"/>
              </w:rPr>
              <w:drawing>
                <wp:inline distT="0" distB="0" distL="0" distR="0" wp14:anchorId="7D256D91" wp14:editId="582C7F6E">
                  <wp:extent cx="701470" cy="800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8383" cy="819391"/>
                          </a:xfrm>
                          <a:prstGeom prst="rect">
                            <a:avLst/>
                          </a:prstGeom>
                        </pic:spPr>
                      </pic:pic>
                    </a:graphicData>
                  </a:graphic>
                </wp:inline>
              </w:drawing>
            </w:r>
          </w:p>
        </w:tc>
        <w:tc>
          <w:tcPr>
            <w:tcW w:w="7711" w:type="dxa"/>
            <w:shd w:val="clear" w:color="auto" w:fill="FFFFFF"/>
            <w:vAlign w:val="center"/>
          </w:tcPr>
          <w:p w14:paraId="49269820" w14:textId="77777777" w:rsidR="00B22482" w:rsidRPr="006D1BC4" w:rsidRDefault="00B22482" w:rsidP="008D2D99">
            <w:pPr>
              <w:rPr>
                <w:sz w:val="10"/>
                <w:szCs w:val="10"/>
              </w:rPr>
            </w:pPr>
          </w:p>
        </w:tc>
        <w:tc>
          <w:tcPr>
            <w:tcW w:w="1451" w:type="dxa"/>
            <w:vMerge w:val="restart"/>
            <w:shd w:val="clear" w:color="auto" w:fill="FFFFFF"/>
          </w:tcPr>
          <w:p w14:paraId="68A6EFE5" w14:textId="77777777" w:rsidR="00B22482" w:rsidRPr="006D1BC4" w:rsidRDefault="00B22482" w:rsidP="008D2D99">
            <w:pPr>
              <w:jc w:val="right"/>
              <w:rPr>
                <w:sz w:val="2"/>
                <w:szCs w:val="2"/>
              </w:rPr>
            </w:pPr>
            <w:r>
              <w:rPr>
                <w:noProof/>
                <w:lang w:eastAsia="ru-RU" w:bidi="ar-SA"/>
              </w:rPr>
              <w:drawing>
                <wp:inline distT="0" distB="0" distL="0" distR="0" wp14:anchorId="55E1C972" wp14:editId="3A49F319">
                  <wp:extent cx="697434" cy="8763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625" cy="895387"/>
                          </a:xfrm>
                          <a:prstGeom prst="rect">
                            <a:avLst/>
                          </a:prstGeom>
                        </pic:spPr>
                      </pic:pic>
                    </a:graphicData>
                  </a:graphic>
                </wp:inline>
              </w:drawing>
            </w:r>
          </w:p>
        </w:tc>
      </w:tr>
      <w:tr w:rsidR="00B22482" w:rsidRPr="006D1BC4" w14:paraId="59883C40" w14:textId="77777777" w:rsidTr="008D2D99">
        <w:trPr>
          <w:cantSplit/>
        </w:trPr>
        <w:tc>
          <w:tcPr>
            <w:tcW w:w="1542" w:type="dxa"/>
            <w:vMerge/>
            <w:shd w:val="clear" w:color="auto" w:fill="FFFFFF"/>
            <w:vAlign w:val="center"/>
          </w:tcPr>
          <w:p w14:paraId="38CC0B69" w14:textId="77777777" w:rsidR="00B22482" w:rsidRPr="006D1BC4" w:rsidRDefault="00B22482" w:rsidP="008D2D99"/>
        </w:tc>
        <w:tc>
          <w:tcPr>
            <w:tcW w:w="7711" w:type="dxa"/>
            <w:shd w:val="clear" w:color="auto" w:fill="E4E4E4"/>
            <w:vAlign w:val="center"/>
          </w:tcPr>
          <w:p w14:paraId="06DE98CF" w14:textId="77777777" w:rsidR="00B22482" w:rsidRPr="006D1BC4" w:rsidRDefault="00B22482" w:rsidP="00F03C2C">
            <w:pPr>
              <w:spacing w:after="240"/>
              <w:jc w:val="center"/>
              <w:rPr>
                <w:sz w:val="16"/>
                <w:szCs w:val="22"/>
              </w:rPr>
            </w:pPr>
            <w:r>
              <w:t xml:space="preserve">Содержание доступно по ссылке </w:t>
            </w:r>
            <w:hyperlink r:id="rId11" w:history="1">
              <w:r>
                <w:rPr>
                  <w:color w:val="2B7CA5"/>
                  <w:sz w:val="16"/>
                  <w:szCs w:val="22"/>
                </w:rPr>
                <w:t>ScienceDirect</w:t>
              </w:r>
            </w:hyperlink>
          </w:p>
          <w:p w14:paraId="2498F2A0" w14:textId="77777777" w:rsidR="00B22482" w:rsidRPr="006D1BC4" w:rsidRDefault="00B22482" w:rsidP="00F03C2C">
            <w:pPr>
              <w:spacing w:after="240"/>
              <w:jc w:val="center"/>
              <w:rPr>
                <w:sz w:val="28"/>
                <w:szCs w:val="44"/>
              </w:rPr>
            </w:pPr>
            <w:r>
              <w:rPr>
                <w:sz w:val="28"/>
                <w:szCs w:val="44"/>
              </w:rPr>
              <w:t>Am J Otolaryngol</w:t>
            </w:r>
          </w:p>
          <w:p w14:paraId="1AA0AB29" w14:textId="77777777" w:rsidR="00B22482" w:rsidRPr="006D1BC4" w:rsidRDefault="00B22482" w:rsidP="008D2D99">
            <w:pPr>
              <w:jc w:val="center"/>
            </w:pPr>
            <w:r>
              <w:rPr>
                <w:sz w:val="16"/>
                <w:szCs w:val="22"/>
              </w:rPr>
              <w:t xml:space="preserve">Домашняя страница журнала: </w:t>
            </w:r>
            <w:r>
              <w:rPr>
                <w:color w:val="2B7CA5"/>
                <w:sz w:val="16"/>
                <w:szCs w:val="22"/>
              </w:rPr>
              <w:t>www.elsevier.com/locate/amjoto</w:t>
            </w:r>
          </w:p>
        </w:tc>
        <w:tc>
          <w:tcPr>
            <w:tcW w:w="1451" w:type="dxa"/>
            <w:vMerge/>
            <w:shd w:val="clear" w:color="auto" w:fill="FFFFFF"/>
            <w:vAlign w:val="center"/>
          </w:tcPr>
          <w:p w14:paraId="20D2FEDE" w14:textId="77777777" w:rsidR="00B22482" w:rsidRPr="006D1BC4" w:rsidRDefault="00B22482" w:rsidP="008D2D99"/>
        </w:tc>
      </w:tr>
      <w:tr w:rsidR="00B22482" w:rsidRPr="006D1BC4" w14:paraId="37D8DEAC" w14:textId="77777777" w:rsidTr="008D2D99">
        <w:trPr>
          <w:cantSplit/>
        </w:trPr>
        <w:tc>
          <w:tcPr>
            <w:tcW w:w="1542" w:type="dxa"/>
            <w:vMerge/>
            <w:shd w:val="clear" w:color="auto" w:fill="FFFFFF"/>
            <w:vAlign w:val="center"/>
          </w:tcPr>
          <w:p w14:paraId="5A7C4687" w14:textId="77777777" w:rsidR="00B22482" w:rsidRPr="006D1BC4" w:rsidRDefault="00B22482" w:rsidP="008D2D99"/>
        </w:tc>
        <w:tc>
          <w:tcPr>
            <w:tcW w:w="7711" w:type="dxa"/>
            <w:shd w:val="clear" w:color="auto" w:fill="FFFFFF"/>
            <w:vAlign w:val="center"/>
          </w:tcPr>
          <w:p w14:paraId="6CAA9CBB" w14:textId="77777777" w:rsidR="00B22482" w:rsidRPr="006D1BC4" w:rsidRDefault="00B22482" w:rsidP="008D2D99">
            <w:pPr>
              <w:rPr>
                <w:sz w:val="10"/>
                <w:szCs w:val="10"/>
              </w:rPr>
            </w:pPr>
          </w:p>
        </w:tc>
        <w:tc>
          <w:tcPr>
            <w:tcW w:w="1451" w:type="dxa"/>
            <w:vMerge/>
            <w:shd w:val="clear" w:color="auto" w:fill="FFFFFF"/>
            <w:vAlign w:val="center"/>
          </w:tcPr>
          <w:p w14:paraId="684B9D27" w14:textId="77777777" w:rsidR="00B22482" w:rsidRPr="006D1BC4" w:rsidRDefault="00B22482" w:rsidP="008D2D99"/>
        </w:tc>
      </w:tr>
    </w:tbl>
    <w:p w14:paraId="15E34FD8" w14:textId="77777777" w:rsidR="00B22482" w:rsidRPr="006D1BC4" w:rsidRDefault="00B22482" w:rsidP="00B22482">
      <w:pPr>
        <w:spacing w:before="180" w:after="120"/>
        <w:rPr>
          <w:sz w:val="20"/>
          <w:szCs w:val="32"/>
        </w:rPr>
      </w:pPr>
    </w:p>
    <w:tbl>
      <w:tblPr>
        <w:tblOverlap w:val="never"/>
        <w:tblW w:w="0" w:type="auto"/>
        <w:tblLayout w:type="fixed"/>
        <w:tblCellMar>
          <w:left w:w="10" w:type="dxa"/>
          <w:right w:w="10" w:type="dxa"/>
        </w:tblCellMar>
        <w:tblLook w:val="0000" w:firstRow="0" w:lastRow="0" w:firstColumn="0" w:lastColumn="0" w:noHBand="0" w:noVBand="0"/>
      </w:tblPr>
      <w:tblGrid>
        <w:gridCol w:w="9639"/>
        <w:gridCol w:w="1070"/>
      </w:tblGrid>
      <w:tr w:rsidR="00B22482" w:rsidRPr="006D1BC4" w14:paraId="4FD33CF9" w14:textId="77777777" w:rsidTr="008D2D99">
        <w:trPr>
          <w:cantSplit/>
          <w:trHeight w:val="825"/>
        </w:trPr>
        <w:tc>
          <w:tcPr>
            <w:tcW w:w="9639" w:type="dxa"/>
            <w:shd w:val="clear" w:color="auto" w:fill="FFFFFF"/>
          </w:tcPr>
          <w:p w14:paraId="4C7ABF66" w14:textId="77777777" w:rsidR="00B22482" w:rsidRPr="006D1BC4" w:rsidRDefault="00B22482" w:rsidP="00BF513D">
            <w:pPr>
              <w:jc w:val="left"/>
              <w:rPr>
                <w:sz w:val="22"/>
                <w:szCs w:val="22"/>
              </w:rPr>
            </w:pPr>
            <w:r>
              <w:rPr>
                <w:sz w:val="28"/>
                <w:szCs w:val="28"/>
              </w:rPr>
              <w:t>Открытое, многоцентровое, рандомизированное, сравнительное исследование эффективности, безопасности и переносимости экстракта пяти растений BNO 1012 в методике лечения детей в возрасте от 6 до 11 лет с острым вирусным и поствирусным риносинуситом с отороченным назначением антибиотиков.</w:t>
            </w:r>
          </w:p>
        </w:tc>
        <w:tc>
          <w:tcPr>
            <w:tcW w:w="1070" w:type="dxa"/>
            <w:shd w:val="clear" w:color="auto" w:fill="FFFFFF"/>
          </w:tcPr>
          <w:p w14:paraId="1C0D9329" w14:textId="77777777" w:rsidR="00B22482" w:rsidRPr="006D1BC4" w:rsidRDefault="00B22482" w:rsidP="008D2D99">
            <w:pPr>
              <w:jc w:val="center"/>
              <w:rPr>
                <w:sz w:val="2"/>
                <w:szCs w:val="2"/>
              </w:rPr>
            </w:pPr>
            <w:r>
              <w:rPr>
                <w:noProof/>
                <w:lang w:eastAsia="ru-RU" w:bidi="ar-SA"/>
              </w:rPr>
              <w:drawing>
                <wp:inline distT="0" distB="0" distL="0" distR="0" wp14:anchorId="7FA8B5ED" wp14:editId="43713661">
                  <wp:extent cx="328371"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780" cy="345973"/>
                          </a:xfrm>
                          <a:prstGeom prst="rect">
                            <a:avLst/>
                          </a:prstGeom>
                        </pic:spPr>
                      </pic:pic>
                    </a:graphicData>
                  </a:graphic>
                </wp:inline>
              </w:drawing>
            </w:r>
          </w:p>
        </w:tc>
      </w:tr>
    </w:tbl>
    <w:p w14:paraId="75D6F552" w14:textId="77777777" w:rsidR="00B22482" w:rsidRPr="006D1BC4" w:rsidRDefault="00B22482" w:rsidP="00B22482">
      <w:pPr>
        <w:spacing w:before="240" w:after="120"/>
        <w:ind w:right="1211"/>
        <w:rPr>
          <w:sz w:val="22"/>
          <w:szCs w:val="36"/>
        </w:rPr>
      </w:pPr>
      <w:r>
        <w:t>Попович В. И.</w:t>
      </w:r>
      <w:r>
        <w:rPr>
          <w:color w:val="007FAB"/>
          <w:vertAlign w:val="superscript"/>
        </w:rPr>
        <w:t>a</w:t>
      </w:r>
      <w:r w:rsidRPr="006D1BC4">
        <w:rPr>
          <w:rStyle w:val="a9"/>
          <w:color w:val="007FAB"/>
          <w:lang w:eastAsia="fr-FR" w:bidi="fr-FR"/>
        </w:rPr>
        <w:footnoteReference w:id="1"/>
      </w:r>
      <w:r>
        <w:t>, Бекетова Г. В.</w:t>
      </w:r>
      <w:r>
        <w:rPr>
          <w:color w:val="007FAB"/>
          <w:vertAlign w:val="superscript"/>
        </w:rPr>
        <w:t>б</w:t>
      </w:r>
      <w:r>
        <w:t>, Кошель И. В.</w:t>
      </w:r>
      <w:r>
        <w:rPr>
          <w:color w:val="007FAB"/>
          <w:vertAlign w:val="superscript"/>
        </w:rPr>
        <w:t>в</w:t>
      </w:r>
      <w:r>
        <w:t>, Цодикова О. А.</w:t>
      </w:r>
      <w:r>
        <w:rPr>
          <w:color w:val="007FAB"/>
          <w:vertAlign w:val="superscript"/>
        </w:rPr>
        <w:t>г</w:t>
      </w:r>
      <w:r>
        <w:t>, Крючко Т. А.</w:t>
      </w:r>
      <w:r>
        <w:rPr>
          <w:vertAlign w:val="superscript"/>
        </w:rPr>
        <w:t>д</w:t>
      </w:r>
      <w:r>
        <w:t>, Абатуров А. Е.</w:t>
      </w:r>
      <w:r>
        <w:rPr>
          <w:vertAlign w:val="superscript"/>
        </w:rPr>
        <w:t>е</w:t>
      </w:r>
      <w:r>
        <w:t>, Вакуленко Л. И.</w:t>
      </w:r>
      <w:r>
        <w:rPr>
          <w:color w:val="007FAB"/>
          <w:sz w:val="22"/>
          <w:szCs w:val="36"/>
          <w:vertAlign w:val="superscript"/>
        </w:rPr>
        <w:t>ж</w:t>
      </w:r>
      <w:r>
        <w:t>, Гавриленко Ю. В.</w:t>
      </w:r>
      <w:r>
        <w:rPr>
          <w:color w:val="007FAB"/>
          <w:vertAlign w:val="superscript"/>
        </w:rPr>
        <w:t>з</w:t>
      </w:r>
    </w:p>
    <w:p w14:paraId="528E34F6" w14:textId="77777777" w:rsidR="00B22482" w:rsidRPr="006D1BC4" w:rsidRDefault="00B22482" w:rsidP="00B22482">
      <w:pPr>
        <w:ind w:right="1211"/>
        <w:rPr>
          <w:i/>
          <w:iCs/>
          <w:sz w:val="12"/>
          <w:szCs w:val="20"/>
        </w:rPr>
      </w:pPr>
      <w:r>
        <w:rPr>
          <w:i/>
          <w:sz w:val="12"/>
          <w:szCs w:val="20"/>
          <w:vertAlign w:val="superscript"/>
        </w:rPr>
        <w:t>a</w:t>
      </w:r>
      <w:r>
        <w:rPr>
          <w:i/>
          <w:iCs/>
          <w:sz w:val="12"/>
          <w:szCs w:val="20"/>
        </w:rPr>
        <w:t xml:space="preserve"> </w:t>
      </w:r>
      <w:r>
        <w:rPr>
          <w:i/>
          <w:sz w:val="12"/>
          <w:szCs w:val="20"/>
        </w:rPr>
        <w:t>Кафедра оториноларингологии, Ивано-Франковский национальный медицинский университет, ул. Галицкая, д. 2, г. Ивано-Франковск, Ивано-Франковская область 76000, Украина</w:t>
      </w:r>
    </w:p>
    <w:p w14:paraId="3492AA0B" w14:textId="77777777" w:rsidR="00B22482" w:rsidRPr="006D1BC4" w:rsidRDefault="00B22482" w:rsidP="00B22482">
      <w:pPr>
        <w:ind w:right="1211"/>
        <w:rPr>
          <w:i/>
          <w:iCs/>
          <w:sz w:val="12"/>
          <w:szCs w:val="20"/>
        </w:rPr>
      </w:pPr>
      <w:r>
        <w:rPr>
          <w:sz w:val="12"/>
          <w:szCs w:val="20"/>
          <w:vertAlign w:val="superscript"/>
        </w:rPr>
        <w:t>б</w:t>
      </w:r>
      <w:r>
        <w:rPr>
          <w:i/>
          <w:iCs/>
          <w:sz w:val="12"/>
          <w:szCs w:val="20"/>
        </w:rPr>
        <w:t xml:space="preserve"> Кафедра детских и подростковых заболеваний, Национальная академия последипломного образования, ул. Дорогожицкая, д. 9, г. Киев 04112, Украина</w:t>
      </w:r>
    </w:p>
    <w:p w14:paraId="79923851" w14:textId="77777777" w:rsidR="00B22482" w:rsidRPr="006D1BC4" w:rsidRDefault="00B22482" w:rsidP="00B22482">
      <w:pPr>
        <w:ind w:right="1211"/>
        <w:rPr>
          <w:i/>
          <w:iCs/>
          <w:sz w:val="12"/>
          <w:szCs w:val="20"/>
        </w:rPr>
      </w:pPr>
      <w:r>
        <w:rPr>
          <w:sz w:val="12"/>
          <w:szCs w:val="20"/>
          <w:vertAlign w:val="superscript"/>
        </w:rPr>
        <w:t>в</w:t>
      </w:r>
      <w:r>
        <w:rPr>
          <w:i/>
          <w:iCs/>
          <w:sz w:val="12"/>
          <w:szCs w:val="20"/>
        </w:rPr>
        <w:t xml:space="preserve"> Кафедра терапии и семейной медицины, Институт последипломного образования Ивано-Франковского национального медицинского университета, ул. Галицкая, д. 2, г. Ивано-Франковск, Ивано-Франковская область 76000, Украина</w:t>
      </w:r>
    </w:p>
    <w:p w14:paraId="798770D6" w14:textId="77777777" w:rsidR="00B22482" w:rsidRPr="006D1BC4" w:rsidRDefault="00B22482" w:rsidP="00B22482">
      <w:pPr>
        <w:ind w:right="1211"/>
        <w:rPr>
          <w:i/>
          <w:iCs/>
          <w:sz w:val="12"/>
          <w:szCs w:val="20"/>
        </w:rPr>
      </w:pPr>
      <w:r>
        <w:rPr>
          <w:sz w:val="12"/>
          <w:szCs w:val="20"/>
          <w:vertAlign w:val="superscript"/>
        </w:rPr>
        <w:t>г</w:t>
      </w:r>
      <w:r>
        <w:rPr>
          <w:i/>
          <w:iCs/>
          <w:sz w:val="12"/>
          <w:szCs w:val="20"/>
        </w:rPr>
        <w:t xml:space="preserve"> Кафедра амбулаторной педиатрии, Харьковская медицинская академия последипломного образования, ул. Амосова, д. 58, г. Харьков, Харьковская область 61176, Украина</w:t>
      </w:r>
    </w:p>
    <w:p w14:paraId="5C00B3DB" w14:textId="77777777" w:rsidR="00B22482" w:rsidRPr="006D1BC4" w:rsidRDefault="00B22482" w:rsidP="00B22482">
      <w:pPr>
        <w:ind w:right="1211"/>
        <w:rPr>
          <w:i/>
          <w:iCs/>
          <w:sz w:val="12"/>
          <w:szCs w:val="20"/>
        </w:rPr>
      </w:pPr>
      <w:r>
        <w:rPr>
          <w:sz w:val="12"/>
          <w:szCs w:val="20"/>
          <w:vertAlign w:val="superscript"/>
        </w:rPr>
        <w:t>д</w:t>
      </w:r>
      <w:r>
        <w:rPr>
          <w:i/>
          <w:iCs/>
          <w:sz w:val="12"/>
          <w:szCs w:val="20"/>
        </w:rPr>
        <w:t xml:space="preserve"> Кафедра педиатрии № 2, Украинская стоматологическая академия, ул. Европейская, д. 39, г. Полтава, Полтавская область 36011, Украина</w:t>
      </w:r>
    </w:p>
    <w:p w14:paraId="2200CAFA" w14:textId="77777777" w:rsidR="00B22482" w:rsidRPr="006D1BC4" w:rsidRDefault="00B22482" w:rsidP="00B22482">
      <w:pPr>
        <w:ind w:right="1211"/>
        <w:rPr>
          <w:i/>
          <w:iCs/>
          <w:sz w:val="12"/>
          <w:szCs w:val="20"/>
        </w:rPr>
      </w:pPr>
      <w:r>
        <w:rPr>
          <w:sz w:val="12"/>
          <w:szCs w:val="20"/>
          <w:vertAlign w:val="superscript"/>
        </w:rPr>
        <w:t>е</w:t>
      </w:r>
      <w:r>
        <w:rPr>
          <w:i/>
          <w:iCs/>
          <w:sz w:val="12"/>
          <w:szCs w:val="20"/>
        </w:rPr>
        <w:t xml:space="preserve"> Кафедра педиатрии и медицинской генетики, Днепропетровская медицинская академия, ул. Владимира Вернадского, д. 9, г. Днепр, Днепропетровская область 49044, Украина</w:t>
      </w:r>
    </w:p>
    <w:p w14:paraId="13779A50" w14:textId="77777777" w:rsidR="00B22482" w:rsidRPr="006D1BC4" w:rsidRDefault="00B22482" w:rsidP="00B22482">
      <w:pPr>
        <w:ind w:right="1211"/>
        <w:rPr>
          <w:i/>
          <w:iCs/>
          <w:sz w:val="12"/>
          <w:szCs w:val="20"/>
        </w:rPr>
      </w:pPr>
      <w:r>
        <w:rPr>
          <w:sz w:val="12"/>
          <w:szCs w:val="20"/>
          <w:vertAlign w:val="superscript"/>
        </w:rPr>
        <w:t>ж</w:t>
      </w:r>
      <w:r>
        <w:rPr>
          <w:i/>
          <w:iCs/>
          <w:sz w:val="12"/>
          <w:szCs w:val="20"/>
        </w:rPr>
        <w:t xml:space="preserve"> Кафедра педиатрии № 2, Днепропетровская медицинская академия, ул. Владимира Вернадского, д. 9, г. Днепр, Днепропетровская область 49044, Украина</w:t>
      </w:r>
    </w:p>
    <w:p w14:paraId="6E679918" w14:textId="77777777" w:rsidR="00B22482" w:rsidRPr="006D1BC4" w:rsidRDefault="00B22482" w:rsidP="00B22482">
      <w:pPr>
        <w:spacing w:after="240"/>
        <w:ind w:right="1211"/>
        <w:rPr>
          <w:i/>
          <w:iCs/>
          <w:sz w:val="12"/>
          <w:szCs w:val="20"/>
        </w:rPr>
      </w:pPr>
      <w:r>
        <w:rPr>
          <w:i/>
          <w:sz w:val="12"/>
          <w:szCs w:val="20"/>
          <w:vertAlign w:val="superscript"/>
        </w:rPr>
        <w:t>з</w:t>
      </w:r>
      <w:r>
        <w:rPr>
          <w:i/>
          <w:iCs/>
          <w:sz w:val="12"/>
          <w:szCs w:val="20"/>
        </w:rPr>
        <w:t xml:space="preserve"> Кафедра</w:t>
      </w:r>
      <w:r>
        <w:rPr>
          <w:i/>
          <w:sz w:val="12"/>
          <w:szCs w:val="20"/>
        </w:rPr>
        <w:t xml:space="preserve"> детской отоларингологии, Национальная академия последипломного образования, ул. Дорогожицкая, д. 9, г. Киев 04112, Украина</w:t>
      </w:r>
    </w:p>
    <w:tbl>
      <w:tblPr>
        <w:tblOverlap w:val="never"/>
        <w:tblW w:w="0" w:type="auto"/>
        <w:tblLayout w:type="fixed"/>
        <w:tblCellMar>
          <w:left w:w="10" w:type="dxa"/>
          <w:right w:w="10" w:type="dxa"/>
        </w:tblCellMar>
        <w:tblLook w:val="0000" w:firstRow="0" w:lastRow="0" w:firstColumn="0" w:lastColumn="0" w:noHBand="0" w:noVBand="0"/>
      </w:tblPr>
      <w:tblGrid>
        <w:gridCol w:w="2735"/>
        <w:gridCol w:w="655"/>
        <w:gridCol w:w="7319"/>
      </w:tblGrid>
      <w:tr w:rsidR="00B22482" w:rsidRPr="006D1BC4" w14:paraId="386B86DF" w14:textId="77777777" w:rsidTr="008D2D99">
        <w:trPr>
          <w:trHeight w:val="634"/>
        </w:trPr>
        <w:tc>
          <w:tcPr>
            <w:tcW w:w="2735" w:type="dxa"/>
            <w:tcBorders>
              <w:top w:val="single" w:sz="4" w:space="0" w:color="auto"/>
            </w:tcBorders>
            <w:shd w:val="clear" w:color="auto" w:fill="FFFFFF"/>
            <w:vAlign w:val="center"/>
          </w:tcPr>
          <w:p w14:paraId="17692A1A" w14:textId="77777777" w:rsidR="00B22482" w:rsidRPr="006D1BC4" w:rsidRDefault="00B22482" w:rsidP="008D2D99">
            <w:r>
              <w:t>ИНФОРМАЦИЯ О СТАТЬЕ</w:t>
            </w:r>
          </w:p>
        </w:tc>
        <w:tc>
          <w:tcPr>
            <w:tcW w:w="655" w:type="dxa"/>
            <w:vMerge w:val="restart"/>
            <w:tcBorders>
              <w:top w:val="single" w:sz="4" w:space="0" w:color="auto"/>
            </w:tcBorders>
            <w:shd w:val="clear" w:color="auto" w:fill="FFFFFF"/>
          </w:tcPr>
          <w:p w14:paraId="3880EF01" w14:textId="77777777" w:rsidR="00B22482" w:rsidRPr="006D1BC4" w:rsidRDefault="00B22482" w:rsidP="008D2D99">
            <w:pPr>
              <w:rPr>
                <w:sz w:val="10"/>
                <w:szCs w:val="10"/>
              </w:rPr>
            </w:pPr>
          </w:p>
        </w:tc>
        <w:tc>
          <w:tcPr>
            <w:tcW w:w="7319" w:type="dxa"/>
            <w:tcBorders>
              <w:top w:val="single" w:sz="4" w:space="0" w:color="auto"/>
            </w:tcBorders>
            <w:shd w:val="clear" w:color="auto" w:fill="FFFFFF"/>
            <w:vAlign w:val="center"/>
          </w:tcPr>
          <w:p w14:paraId="455DBEBF" w14:textId="77777777" w:rsidR="00B22482" w:rsidRPr="006D1BC4" w:rsidRDefault="00B22482" w:rsidP="008D2D99">
            <w:r>
              <w:t>РЕЗЮМЕ</w:t>
            </w:r>
          </w:p>
        </w:tc>
      </w:tr>
      <w:tr w:rsidR="00B22482" w:rsidRPr="006D1BC4" w14:paraId="18472A10" w14:textId="77777777" w:rsidTr="008D2D99">
        <w:trPr>
          <w:trHeight w:val="2273"/>
        </w:trPr>
        <w:tc>
          <w:tcPr>
            <w:tcW w:w="2735" w:type="dxa"/>
            <w:tcBorders>
              <w:top w:val="single" w:sz="4" w:space="0" w:color="auto"/>
              <w:bottom w:val="single" w:sz="4" w:space="0" w:color="auto"/>
            </w:tcBorders>
            <w:shd w:val="clear" w:color="auto" w:fill="FFFFFF"/>
          </w:tcPr>
          <w:p w14:paraId="1021D88E" w14:textId="77777777" w:rsidR="00B22482" w:rsidRPr="006D1BC4" w:rsidRDefault="00B22482" w:rsidP="008D2D99">
            <w:r>
              <w:rPr>
                <w:i/>
                <w:iCs/>
              </w:rPr>
              <w:t>Ключевые слова:</w:t>
            </w:r>
          </w:p>
          <w:p w14:paraId="7D7D7442" w14:textId="77777777" w:rsidR="00B22482" w:rsidRPr="006D1BC4" w:rsidRDefault="00B22482" w:rsidP="008D2D99">
            <w:r>
              <w:t>Острый вирусный риносинусит</w:t>
            </w:r>
          </w:p>
          <w:p w14:paraId="50E1FC6A" w14:textId="77777777" w:rsidR="00B22482" w:rsidRPr="006D1BC4" w:rsidRDefault="00B22482" w:rsidP="008D2D99">
            <w:r>
              <w:t>Поствирусный риносинусит</w:t>
            </w:r>
          </w:p>
          <w:p w14:paraId="089D52D7" w14:textId="77777777" w:rsidR="00B22482" w:rsidRPr="006D1BC4" w:rsidRDefault="00B22482" w:rsidP="008D2D99">
            <w:r>
              <w:t>Фитоэкстракт</w:t>
            </w:r>
          </w:p>
          <w:p w14:paraId="167FBDE7" w14:textId="77777777" w:rsidR="00B22482" w:rsidRPr="006D1BC4" w:rsidRDefault="00B22482" w:rsidP="008D2D99">
            <w:r>
              <w:t>Терапевтический эффект</w:t>
            </w:r>
          </w:p>
        </w:tc>
        <w:tc>
          <w:tcPr>
            <w:tcW w:w="655" w:type="dxa"/>
            <w:vMerge/>
            <w:tcBorders>
              <w:bottom w:val="single" w:sz="4" w:space="0" w:color="auto"/>
            </w:tcBorders>
            <w:shd w:val="clear" w:color="auto" w:fill="FFFFFF"/>
          </w:tcPr>
          <w:p w14:paraId="3DA4F872" w14:textId="77777777" w:rsidR="00B22482" w:rsidRPr="006D1BC4" w:rsidRDefault="00B22482" w:rsidP="008D2D99"/>
        </w:tc>
        <w:tc>
          <w:tcPr>
            <w:tcW w:w="7319" w:type="dxa"/>
            <w:tcBorders>
              <w:top w:val="single" w:sz="4" w:space="0" w:color="auto"/>
              <w:bottom w:val="single" w:sz="4" w:space="0" w:color="auto"/>
            </w:tcBorders>
            <w:shd w:val="clear" w:color="auto" w:fill="FFFFFF"/>
            <w:vAlign w:val="center"/>
          </w:tcPr>
          <w:p w14:paraId="7CDC09B9" w14:textId="77777777" w:rsidR="00B22482" w:rsidRPr="006D1BC4" w:rsidRDefault="00B22482" w:rsidP="008D2D99">
            <w:r>
              <w:t>Острый риносинусит (ОРС) может быть бактериальным (ОБРС), а антибактериальная терапия может требоваться только в 0,5–5 % случаев. В большинстве случаев заболевание делится на вирусную и поствирусную форму, требующую патогенетического симптоматического лечения.</w:t>
            </w:r>
          </w:p>
          <w:p w14:paraId="206DF605" w14:textId="77777777" w:rsidR="00B22482" w:rsidRPr="006D1BC4" w:rsidRDefault="00B22482" w:rsidP="008D2D99">
            <w:pPr>
              <w:ind w:firstLine="290"/>
            </w:pPr>
            <w:r>
              <w:t>Цель исследования состояла в определении эффективности экстракта BNO 1012 в методике отсроченного назначения антибиотиков детям с острым риносинуситом.</w:t>
            </w:r>
          </w:p>
          <w:p w14:paraId="3583E260" w14:textId="77777777" w:rsidR="00B22482" w:rsidRPr="006D1BC4" w:rsidRDefault="00B22482" w:rsidP="008D2D99">
            <w:r>
              <w:rPr>
                <w:i/>
                <w:iCs/>
              </w:rPr>
              <w:t>Методы:</w:t>
            </w:r>
            <w:r>
              <w:t xml:space="preserve"> 292 ребенка в возрасте от 6 до 11 лет с ОРС путем рандомизации распределили во многоцентровом, сравнительном исследовании. Они получали экстракт пяти лекарственных растений дополнительно к стандартной симптоматической терапии или только стандартную терапию.</w:t>
            </w:r>
          </w:p>
          <w:p w14:paraId="1F905E6F" w14:textId="77777777" w:rsidR="00B22482" w:rsidRPr="006D1BC4" w:rsidRDefault="00B22482" w:rsidP="008D2D99">
            <w:r>
              <w:rPr>
                <w:i/>
              </w:rPr>
              <w:t>Критерии оценки</w:t>
            </w:r>
            <w:r>
              <w:t>: уменьшение выраженности синусита по 4-бальной шкале медицинской оценки (заложенность носа, выраженность передней и задней ринореи) во время каждого визита, динамика самооценки ринореи и головной боли (по 10-бальной визуально-аналоговой шкале), «терапевтический эффект» в днях, частота назначения антибиотик благодаря использованию экстракта пяти растений.</w:t>
            </w:r>
          </w:p>
          <w:p w14:paraId="00838ED6" w14:textId="77777777" w:rsidR="00B22482" w:rsidRPr="006D1BC4" w:rsidRDefault="00B22482" w:rsidP="008D2D99">
            <w:r>
              <w:rPr>
                <w:i/>
                <w:iCs/>
              </w:rPr>
              <w:t>Результаты:</w:t>
            </w:r>
            <w:r>
              <w:t xml:space="preserve"> Использование экстракта BNO-1012 дополнительно к стандартной симптоматической терапии острого риносинусита обеспечивает значимое с клинической точки зрения, приемлемое уменьшение выраженности ринореи, заложенности носа и стекания по задней стенке носоглотки, что оценивалось врачом во время визита В2 (p &lt; 0,005). Значимые различия регистрируются во время самооценки ринореи у пациентов на второй или третий день при вирусном РС и с четвертого по восьмой день при поствирусном РС. Симптомы аналогичной интенсивности в контрольной группе регистрировались во время визита В3. Следовательно, в течение первой недели лечения в основной группе достигли «терапевтического эффекта» в три дня, в сравнении с контрольной группой. Использование BNO 1012 у пациентов с острым риносинуситом может уменьшить необходимость в назначении антибактериальных препаратов в 1,81 раза.</w:t>
            </w:r>
          </w:p>
          <w:p w14:paraId="520B584C" w14:textId="77777777" w:rsidR="00B22482" w:rsidRPr="006D1BC4" w:rsidRDefault="00B22482" w:rsidP="008D2D99">
            <w:pPr>
              <w:spacing w:after="180"/>
            </w:pPr>
            <w:r>
              <w:rPr>
                <w:i/>
                <w:iCs/>
              </w:rPr>
              <w:t>Выводы:</w:t>
            </w:r>
            <w:r>
              <w:t xml:space="preserve"> Комбинация пяти лекарственных растений эффективна для лечения острого риносинусита у детей в возрасте от 6 до 11 лет. Ее использование обеспечивает значимый «терапевтический эффект» при одновременном применении со стандартной симптоматической терапией, что уменьшает потребность в назначении антибиотиков.</w:t>
            </w:r>
          </w:p>
        </w:tc>
      </w:tr>
    </w:tbl>
    <w:p w14:paraId="0707BC40" w14:textId="77777777" w:rsidR="00B22482" w:rsidRPr="006D1BC4" w:rsidRDefault="00B22482"/>
    <w:p w14:paraId="297E09AB" w14:textId="7BA1BE20" w:rsidR="00B22482" w:rsidRPr="006D1BC4" w:rsidRDefault="00B22482">
      <w:pPr>
        <w:sectPr w:rsidR="00B22482" w:rsidRPr="006D1BC4" w:rsidSect="0025332E">
          <w:footerReference w:type="default" r:id="rId13"/>
          <w:type w:val="continuous"/>
          <w:pgSz w:w="12240" w:h="16834"/>
          <w:pgMar w:top="720" w:right="680" w:bottom="1559" w:left="851" w:header="0" w:footer="567" w:gutter="0"/>
          <w:cols w:space="720"/>
          <w:noEndnote/>
          <w:docGrid w:linePitch="360"/>
        </w:sectPr>
      </w:pPr>
    </w:p>
    <w:p w14:paraId="078830CF" w14:textId="7675F91E" w:rsidR="00887103" w:rsidRPr="006D1BC4" w:rsidRDefault="00737FC5" w:rsidP="00732819">
      <w:pPr>
        <w:pStyle w:val="Style1"/>
        <w:spacing w:before="0"/>
      </w:pPr>
      <w:r>
        <w:lastRenderedPageBreak/>
        <w:t>Введение</w:t>
      </w:r>
    </w:p>
    <w:p w14:paraId="0EC52D79" w14:textId="77777777" w:rsidR="00887103" w:rsidRPr="006D1BC4" w:rsidRDefault="00737FC5" w:rsidP="00732819">
      <w:pPr>
        <w:ind w:firstLine="284"/>
      </w:pPr>
      <w:r>
        <w:t>Острый риносинусит (ОРС) является из наиболее распространенных заболеваний верхних дыхательных путей, являющихся ключевой причиной пропусков занятий в школе среди детей [</w:t>
      </w:r>
      <w:hyperlink w:anchor="bookmark16" w:tooltip="Текущий документ">
        <w:r>
          <w:rPr>
            <w:color w:val="2B7CA5"/>
          </w:rPr>
          <w:t>1</w:t>
        </w:r>
      </w:hyperlink>
      <w:r>
        <w:t>].</w:t>
      </w:r>
    </w:p>
    <w:p w14:paraId="3D6E3E3E" w14:textId="77777777" w:rsidR="00887103" w:rsidRPr="006D1BC4" w:rsidRDefault="00737FC5" w:rsidP="00732819">
      <w:pPr>
        <w:ind w:firstLine="284"/>
      </w:pPr>
      <w:r>
        <w:t>В зависимости от течения заболевания ОРС может рассматриваться как острый вирусный риносинусит (ОВРС) и поствирусный риносинусит (ПВРС). В Европе острый вирусный риносинусит определяется как острые соответствующие симптомы в течение 10 дней, без их усиления через 5 дней. Поствирусный риносинусит диагностируют, если симптомы сохраняются &gt; 10 дней или усиливаются через 5 дней [</w:t>
      </w:r>
      <w:hyperlink w:anchor="bookmark17" w:tooltip="Текущий документ">
        <w:r>
          <w:rPr>
            <w:color w:val="2B7CA5"/>
          </w:rPr>
          <w:t>2</w:t>
        </w:r>
      </w:hyperlink>
      <w:r>
        <w:t>]. В США данная форма заболевания определяется как острый невирусный риносинусит [</w:t>
      </w:r>
      <w:hyperlink w:anchor="bookmark18" w:tooltip="Текущий документ">
        <w:r>
          <w:rPr>
            <w:color w:val="2B7CA5"/>
          </w:rPr>
          <w:t>3</w:t>
        </w:r>
      </w:hyperlink>
      <w:r>
        <w:t>]. Только 0,5–5 % случаев ОРС вызываются бактериальной инфекцией и могут характеризоваться как острый бактериальный риносинусит (ОБРС), требующий назначения антибиотиков.</w:t>
      </w:r>
    </w:p>
    <w:p w14:paraId="4956AEB5" w14:textId="77777777" w:rsidR="00887103" w:rsidRPr="006D1BC4" w:rsidRDefault="00737FC5" w:rsidP="00732819">
      <w:pPr>
        <w:ind w:firstLine="284"/>
      </w:pPr>
      <w:r>
        <w:t>Обычно, наиболее распространенной причиной ОРС в первые 10 дней заболевания являются разнообразные вирусы. Все эти вирусы увеличивают концентрацию провоспалительных цитокинов и количество нейтрофилов [</w:t>
      </w:r>
      <w:hyperlink w:anchor="bookmark19" w:tooltip="Текущий документ">
        <w:r>
          <w:rPr>
            <w:color w:val="2B7CA5"/>
          </w:rPr>
          <w:t>4</w:t>
        </w:r>
      </w:hyperlink>
      <w:r>
        <w:t>]. Их активность вызывает нарушение мукоцилиарного клиренса в связи с повреждением реснитчатого эпителия, а также усилением продукции вязкого секрета. Эти изменения вызывают нарушение вентиляции и ухудшение дренирования приносовых пазух. Аналогичная реакция наблюдается при развитии бактериальной инфекции. В результате ОРС можно ошибочно диагностировать как бактериальную инфекцию, что приведет к необоснованному назначению антибактериальной терапии, которая не соответствует данной стадии заболевания.</w:t>
      </w:r>
    </w:p>
    <w:p w14:paraId="1D793BF5" w14:textId="0F288F61" w:rsidR="00887103" w:rsidRPr="006D1BC4" w:rsidRDefault="00737FC5" w:rsidP="00732819">
      <w:pPr>
        <w:ind w:firstLine="284"/>
      </w:pPr>
      <w:r>
        <w:t>Хотя и нет доказательств того, что использование антибиотиков является полезным, острый риносинусит — это один из ведущих диагнозов, при котором необоснованно назначают антибактериальную терапию. В Украине педиатры назначают антибиотики в 32 % случаев ОРС, врачи общей практики — в 54 % случаев ОРС, а отоларингологи — в 77 % случаев ОРС [</w:t>
      </w:r>
      <w:hyperlink w:anchor="bookmark20" w:tooltip="Текущий документ">
        <w:r>
          <w:rPr>
            <w:color w:val="2B7CA5"/>
          </w:rPr>
          <w:t>5</w:t>
        </w:r>
      </w:hyperlink>
      <w:r w:rsidR="00EB50F8">
        <w:t>]. В </w:t>
      </w:r>
      <w:r>
        <w:t>Европе антибиотики также назначают по поводу этой нозологии в 4–9 раз чаще, чем предлагается в протоколах лечения [</w:t>
      </w:r>
      <w:hyperlink w:anchor="bookmark21" w:tooltip="Текущий документ">
        <w:r>
          <w:rPr>
            <w:color w:val="2B7CA5"/>
          </w:rPr>
          <w:t>6</w:t>
        </w:r>
      </w:hyperlink>
      <w:r>
        <w:t>].</w:t>
      </w:r>
    </w:p>
    <w:p w14:paraId="4EFDF68D" w14:textId="77777777" w:rsidR="00887103" w:rsidRPr="006D1BC4" w:rsidRDefault="00737FC5" w:rsidP="00732819">
      <w:pPr>
        <w:ind w:firstLine="284"/>
      </w:pPr>
      <w:r>
        <w:t>Одной из стратегий уменьшения количества лишних назначений является назначение лечения без антибиотиков в тех случаях, когда нет абсолютных показаний к их назначению. Специалист не прибегает к немедленному назначению антибиотика, ожидая, что состояние пациента улучшится под действием патогенетической терапии, но оставляет за собой возможность назначения антибактериальной терапии, если не будет положительной динамики [</w:t>
      </w:r>
      <w:hyperlink w:anchor="bookmark22" w:tooltip="Текущий документ">
        <w:r>
          <w:rPr>
            <w:color w:val="2B7CA5"/>
          </w:rPr>
          <w:t>7</w:t>
        </w:r>
      </w:hyperlink>
      <w:r>
        <w:t>].</w:t>
      </w:r>
    </w:p>
    <w:p w14:paraId="7FE8632C" w14:textId="77777777" w:rsidR="00887103" w:rsidRPr="006D1BC4" w:rsidRDefault="00737FC5" w:rsidP="00732819">
      <w:pPr>
        <w:ind w:firstLine="284"/>
      </w:pPr>
      <w:r>
        <w:t>Ключевым условием возможности внедрения такой стратегии является назначения лечения с доказанной эффективностью. Однако, такие широко используемые препараты, как назальные деконгестанты, антигистаминные препараты, гомеопатические средства и муколитики, не имеют доказанной эффективности у пациентов с острым риносинуситом [</w:t>
      </w:r>
      <w:hyperlink w:anchor="bookmark17" w:tooltip="Текущий документ">
        <w:r>
          <w:rPr>
            <w:color w:val="2B7CA5"/>
          </w:rPr>
          <w:t>2</w:t>
        </w:r>
      </w:hyperlink>
      <w:r>
        <w:t>,</w:t>
      </w:r>
      <w:hyperlink w:anchor="bookmark18" w:tooltip="Текущий документ">
        <w:r>
          <w:rPr>
            <w:color w:val="2B7CA5"/>
          </w:rPr>
          <w:t>3</w:t>
        </w:r>
      </w:hyperlink>
      <w:r>
        <w:t>]. Многие ученые выражают мнение о том, что слабая динамика регрессии ринореи, стекания по задней стенке носоглотки, заложенности носа и головной боли у пациентов с острым риносинуситом является ведущим фактором необоснованного назначения антибиотиков как врачами, так собственно и желание получать антибиотикотерапию пациентами, что является одной из ведущих причин такой глобальной проблемы, как антибиотикорезистентность [</w:t>
      </w:r>
      <w:hyperlink w:anchor="bookmark23" w:tooltip="Текущий документ">
        <w:r>
          <w:rPr>
            <w:color w:val="2B7CA5"/>
          </w:rPr>
          <w:t>8</w:t>
        </w:r>
      </w:hyperlink>
      <w:r>
        <w:t>].</w:t>
      </w:r>
    </w:p>
    <w:p w14:paraId="11319B07" w14:textId="77777777" w:rsidR="00887103" w:rsidRPr="006D1BC4" w:rsidRDefault="00737FC5" w:rsidP="00732819">
      <w:pPr>
        <w:ind w:firstLine="284"/>
      </w:pPr>
      <w:r>
        <w:t>Согласно рекомендациям, фармакотерапия острого риносинусита заключается в терапевтической ирригации изотоническим солевым раствором морской соли и использовании нестероидных противовоспалительных средств, антипиретиков или топических кортикостероидов (при поствирусном РС). Эффективность при лечении симптомов синусита была доказана для пеларгонии сидовидной (</w:t>
      </w:r>
      <w:r>
        <w:rPr>
          <w:i/>
        </w:rPr>
        <w:t>Pelargonium sidoides</w:t>
      </w:r>
      <w:r>
        <w:t>), стандартизированного миртола [</w:t>
      </w:r>
      <w:hyperlink w:anchor="bookmark24" w:tooltip="Текущий документ">
        <w:r>
          <w:rPr>
            <w:color w:val="2B7CA5"/>
          </w:rPr>
          <w:t>9</w:t>
        </w:r>
      </w:hyperlink>
      <w:r>
        <w:t>,</w:t>
      </w:r>
      <w:hyperlink w:anchor="bookmark25" w:tooltip="Текущий документ">
        <w:r>
          <w:rPr>
            <w:color w:val="2B7CA5"/>
          </w:rPr>
          <w:t>10</w:t>
        </w:r>
      </w:hyperlink>
      <w:r>
        <w:t xml:space="preserve">]. Небольшое количество исследований растительных лекарственных средств, соответствующих стандартам Надлежащей клинической практики (GCP), связывается со сложностями стандартизации растительных </w:t>
      </w:r>
      <w:r>
        <w:t>лекарственных средств, а, следовательно, с изучением их эффективности и безопасности с помощью средств доказательной медицины. Однако, после выхода соответствующих рекомендаций, ситуация изменилась [</w:t>
      </w:r>
      <w:hyperlink w:anchor="bookmark26" w:tooltip="Текущий документ">
        <w:r>
          <w:rPr>
            <w:color w:val="2B7CA5"/>
          </w:rPr>
          <w:t>11</w:t>
        </w:r>
      </w:hyperlink>
      <w:r>
        <w:t>].</w:t>
      </w:r>
    </w:p>
    <w:p w14:paraId="40BCA428" w14:textId="7CADFB73" w:rsidR="00887103" w:rsidRPr="006D1BC4" w:rsidRDefault="00737FC5" w:rsidP="00732819">
      <w:pPr>
        <w:ind w:firstLine="284"/>
      </w:pPr>
      <w:r>
        <w:t>В клинической практике в Украине и нескольких других странах используют стандартизированный водно-спиртовой экстракт BNO 1012 (Синупрет</w:t>
      </w:r>
      <w:r>
        <w:rPr>
          <w:vertAlign w:val="superscript"/>
        </w:rPr>
        <w:t>®</w:t>
      </w:r>
      <w:r>
        <w:t>, «Бионорика СЕ», Германия), и он содержит стандартизированные ключевые биологически активные вещества: корень горечавки (</w:t>
      </w:r>
      <w:r>
        <w:rPr>
          <w:i/>
        </w:rPr>
        <w:t>Gentianae radix</w:t>
      </w:r>
      <w:r>
        <w:t>), цветки первоцвета с чашечкой (</w:t>
      </w:r>
      <w:r>
        <w:rPr>
          <w:i/>
        </w:rPr>
        <w:t>Primulae flos cum calycibus</w:t>
      </w:r>
      <w:r>
        <w:t>), щавель обыкновенный (</w:t>
      </w:r>
      <w:r>
        <w:rPr>
          <w:i/>
        </w:rPr>
        <w:t>Rumex herba</w:t>
      </w:r>
      <w:r>
        <w:t>), цветки бузины (</w:t>
      </w:r>
      <w:r>
        <w:rPr>
          <w:i/>
        </w:rPr>
        <w:t>Sambuci flos</w:t>
      </w:r>
      <w:r>
        <w:t>), вербену лекарственную (</w:t>
      </w:r>
      <w:r>
        <w:rPr>
          <w:i/>
        </w:rPr>
        <w:t>Verbenae herba</w:t>
      </w:r>
      <w:r>
        <w:t xml:space="preserve">). Комплексное лекарственное средство на основе экстракта установленной растительной комбинации имеет широкий спектр фармакологического действия, включая муколитическое, секретомоторное, противовирусное и противовоспалительное. Исследования </w:t>
      </w:r>
      <w:r>
        <w:rPr>
          <w:i/>
        </w:rPr>
        <w:t>in vitro</w:t>
      </w:r>
      <w:r>
        <w:t xml:space="preserve"> позволили продемонстрировать, что данный препарат улучшает гидратацию секрета дыхательных путей, усиливает активность реснитчатого эпителия [</w:t>
      </w:r>
      <w:hyperlink w:anchor="bookmark27" w:tooltip="Текущий документ">
        <w:r>
          <w:rPr>
            <w:color w:val="2B7CA5"/>
          </w:rPr>
          <w:t>12</w:t>
        </w:r>
      </w:hyperlink>
      <w:r>
        <w:t>] и обнаруживает противовоспалительные свойства в экспериментах на животных [</w:t>
      </w:r>
      <w:hyperlink w:anchor="bookmark27" w:tooltip="Текущий документ">
        <w:r>
          <w:rPr>
            <w:color w:val="2B7CA5"/>
          </w:rPr>
          <w:t>12</w:t>
        </w:r>
      </w:hyperlink>
      <w:r>
        <w:t>,</w:t>
      </w:r>
      <w:hyperlink w:anchor="bookmark28" w:tooltip="Текущий документ">
        <w:r>
          <w:rPr>
            <w:color w:val="2B7CA5"/>
          </w:rPr>
          <w:t>13</w:t>
        </w:r>
      </w:hyperlink>
      <w:r>
        <w:t>]. В других исследованиях была показана способность растительных флавоноидов в комплексном лекарственном препарате дозозависимо угнетать размножение респираторных вирусов [</w:t>
      </w:r>
      <w:hyperlink w:anchor="bookmark29" w:tooltip="Текущий документ">
        <w:r>
          <w:rPr>
            <w:color w:val="2B7CA5"/>
          </w:rPr>
          <w:t>14</w:t>
        </w:r>
      </w:hyperlink>
      <w:r>
        <w:t>].</w:t>
      </w:r>
    </w:p>
    <w:p w14:paraId="1FF27178" w14:textId="77777777" w:rsidR="00887103" w:rsidRPr="006D1BC4" w:rsidRDefault="00737FC5" w:rsidP="00732819">
      <w:pPr>
        <w:ind w:firstLine="284"/>
      </w:pPr>
      <w:r>
        <w:t>В нескольких клинических исследованиях получили хорошие результаты. В рандомизированном, двойном слепом, плацебо-контролируемом исследовании эффективности сухого экстракта, содержащего компоненты указанных лекарственных растений, было показано его высокую эффективность у пациентов с острым вирусным риносинуситом. Согласно результатам синоназального теста, включая общий индекс, назальные симптомы и общее качество жизни, такое облегчение симптомов острого риносинусита происходило у взрослых пациентов в группе активного лечения на День 10, а в группе плацебо — только на День 14 [</w:t>
      </w:r>
      <w:hyperlink w:anchor="bookmark30" w:tooltip="Текущий документ">
        <w:r>
          <w:rPr>
            <w:color w:val="2B7CA5"/>
          </w:rPr>
          <w:t>15</w:t>
        </w:r>
      </w:hyperlink>
      <w:r>
        <w:t>]. Аналогичные результаты получили в исследовании среди детей с острым риносинуситом [</w:t>
      </w:r>
      <w:hyperlink w:anchor="bookmark31" w:tooltip="Текущий документ">
        <w:r>
          <w:rPr>
            <w:color w:val="2B7CA5"/>
          </w:rPr>
          <w:t>16</w:t>
        </w:r>
      </w:hyperlink>
      <w:r>
        <w:t>,</w:t>
      </w:r>
      <w:hyperlink w:anchor="bookmark32" w:tooltip="Текущий документ">
        <w:r>
          <w:rPr>
            <w:color w:val="2B7CA5"/>
          </w:rPr>
          <w:t>17</w:t>
        </w:r>
      </w:hyperlink>
      <w:r>
        <w:t>].</w:t>
      </w:r>
    </w:p>
    <w:p w14:paraId="32F7C164" w14:textId="77777777" w:rsidR="00887103" w:rsidRPr="006D1BC4" w:rsidRDefault="00737FC5" w:rsidP="00732819">
      <w:pPr>
        <w:ind w:firstLine="284"/>
      </w:pPr>
      <w:r>
        <w:t>Использование фитоэкстракта в комбинации со стандартной антибактериальной терапией значительно облегчает острые симптомы и признаки синусита [</w:t>
      </w:r>
      <w:hyperlink w:anchor="bookmark33" w:tooltip="Текущий документ">
        <w:r>
          <w:rPr>
            <w:color w:val="2B7CA5"/>
          </w:rPr>
          <w:t>18</w:t>
        </w:r>
      </w:hyperlink>
      <w:r>
        <w:t>].</w:t>
      </w:r>
    </w:p>
    <w:p w14:paraId="65C2E707" w14:textId="77777777" w:rsidR="00887103" w:rsidRPr="006D1BC4" w:rsidRDefault="00737FC5" w:rsidP="00732819">
      <w:pPr>
        <w:ind w:firstLine="284"/>
      </w:pPr>
      <w:r>
        <w:t>Однако, в научной литературе нет значимых сообщений о соответствии требованиям GCP исследований эффективности фитоэкстракта из пяти компонентов для предупреждения необоснованного использования антибиотикотерапии у пациентов с острым риносинуситом.</w:t>
      </w:r>
    </w:p>
    <w:p w14:paraId="0125DF3F" w14:textId="77777777" w:rsidR="00887103" w:rsidRPr="006D1BC4" w:rsidRDefault="00737FC5" w:rsidP="00732819">
      <w:pPr>
        <w:ind w:firstLine="284"/>
      </w:pPr>
      <w:r>
        <w:t>Целью исследования была оценка эффективности экстракта из пяти лекарственных растений BNO 1012 для предупреждения необоснованного назначения антибиотиков детям в возрасте 6–11 лет, в сравнении с пациентами, которые получали стандартную симптоматическую терапию ОРС согласно национальным клиническим рекомендациям [</w:t>
      </w:r>
      <w:hyperlink w:anchor="bookmark34" w:tooltip="Текущий документ">
        <w:r>
          <w:rPr>
            <w:color w:val="2B7CA5"/>
          </w:rPr>
          <w:t>19</w:t>
        </w:r>
      </w:hyperlink>
      <w:r>
        <w:t>].</w:t>
      </w:r>
    </w:p>
    <w:p w14:paraId="24F2365A" w14:textId="54C426D0" w:rsidR="00887103" w:rsidRPr="006D1BC4" w:rsidRDefault="00737FC5" w:rsidP="00732819">
      <w:pPr>
        <w:pStyle w:val="Style1"/>
      </w:pPr>
      <w:r>
        <w:t>Материалы и методы</w:t>
      </w:r>
    </w:p>
    <w:p w14:paraId="7B1BD297" w14:textId="404D7EC8" w:rsidR="00887103" w:rsidRPr="006D1BC4" w:rsidRDefault="00737FC5" w:rsidP="00732819">
      <w:pPr>
        <w:pStyle w:val="Style2"/>
      </w:pPr>
      <w:r>
        <w:t>Дизайн исследования</w:t>
      </w:r>
    </w:p>
    <w:p w14:paraId="756AE386" w14:textId="77777777" w:rsidR="00887103" w:rsidRPr="006D1BC4" w:rsidRDefault="00737FC5" w:rsidP="00732819">
      <w:pPr>
        <w:ind w:firstLine="284"/>
      </w:pPr>
      <w:r>
        <w:t>Открытое, многоцентровое, рандомизированное, поисковое, сравнительное, проспективное исследование в параллельных группах проводилось в шести амбулаторных учреждениях Украины. Исследование длилось с октября 2015 года по февраль 2016 года. Проведение исследования было утверждено Этическим комитетом в каждом исследовательском центре и оно проводилось в соответствии со стандартами GCP и Хельсинкской декларацией. Родители/законные представители каждого ребенка предоставили письменное согласие на участие ребенка в исследовании.</w:t>
      </w:r>
    </w:p>
    <w:p w14:paraId="20A78D3C" w14:textId="2D41BCFF" w:rsidR="00887103" w:rsidRPr="006D1BC4" w:rsidRDefault="00737FC5" w:rsidP="00335FDA">
      <w:pPr>
        <w:pStyle w:val="Style2"/>
      </w:pPr>
      <w:r>
        <w:t>Участники</w:t>
      </w:r>
    </w:p>
    <w:p w14:paraId="784C7AE3" w14:textId="77777777" w:rsidR="00EB50F8" w:rsidRDefault="00737FC5" w:rsidP="00732819">
      <w:pPr>
        <w:ind w:firstLine="284"/>
        <w:sectPr w:rsidR="00EB50F8" w:rsidSect="00EB50F8">
          <w:headerReference w:type="default" r:id="rId14"/>
          <w:footerReference w:type="default" r:id="rId15"/>
          <w:pgSz w:w="12240" w:h="16834"/>
          <w:pgMar w:top="993" w:right="680" w:bottom="1135" w:left="851" w:header="567" w:footer="567" w:gutter="0"/>
          <w:cols w:num="2" w:space="347"/>
          <w:noEndnote/>
          <w:docGrid w:linePitch="360"/>
        </w:sectPr>
      </w:pPr>
      <w:r>
        <w:t>Чтобы оценить возможное участие в исследовании было отобрано 304 амбулаторных пациента; рандомизировали 292 амбулаторных пациента в возрасте 6–11 лет с диагнозом острого риносинусита.</w:t>
      </w:r>
    </w:p>
    <w:p w14:paraId="49FCD6A6" w14:textId="77777777" w:rsidR="00EB50F8" w:rsidRPr="006D1BC4" w:rsidRDefault="00EB50F8" w:rsidP="00EB50F8">
      <w:pPr>
        <w:rPr>
          <w:b/>
          <w:bCs/>
        </w:rPr>
      </w:pPr>
      <w:r>
        <w:rPr>
          <w:b/>
          <w:bCs/>
        </w:rPr>
        <w:lastRenderedPageBreak/>
        <w:t>Таблица 1</w:t>
      </w:r>
    </w:p>
    <w:p w14:paraId="03C38184" w14:textId="77777777" w:rsidR="00EB50F8" w:rsidRPr="006D1BC4" w:rsidRDefault="00EB50F8" w:rsidP="00EB50F8">
      <w:r>
        <w:t>График визитов и оценок.</w:t>
      </w:r>
    </w:p>
    <w:tbl>
      <w:tblPr>
        <w:tblOverlap w:val="never"/>
        <w:tblW w:w="0" w:type="auto"/>
        <w:tblLayout w:type="fixed"/>
        <w:tblCellMar>
          <w:left w:w="10" w:type="dxa"/>
          <w:right w:w="10" w:type="dxa"/>
        </w:tblCellMar>
        <w:tblLook w:val="04A0" w:firstRow="1" w:lastRow="0" w:firstColumn="1" w:lastColumn="0" w:noHBand="0" w:noVBand="1"/>
      </w:tblPr>
      <w:tblGrid>
        <w:gridCol w:w="1048"/>
        <w:gridCol w:w="1013"/>
        <w:gridCol w:w="983"/>
        <w:gridCol w:w="968"/>
        <w:gridCol w:w="998"/>
        <w:gridCol w:w="998"/>
        <w:gridCol w:w="983"/>
        <w:gridCol w:w="968"/>
        <w:gridCol w:w="983"/>
        <w:gridCol w:w="998"/>
        <w:gridCol w:w="769"/>
      </w:tblGrid>
      <w:tr w:rsidR="00EB50F8" w:rsidRPr="006D1BC4" w14:paraId="2A2EDA7F" w14:textId="77777777" w:rsidTr="00EB50F8">
        <w:trPr>
          <w:cantSplit/>
          <w:trHeight w:val="336"/>
        </w:trPr>
        <w:tc>
          <w:tcPr>
            <w:tcW w:w="5010" w:type="dxa"/>
            <w:gridSpan w:val="5"/>
            <w:tcBorders>
              <w:top w:val="single" w:sz="4" w:space="0" w:color="auto"/>
            </w:tcBorders>
            <w:shd w:val="clear" w:color="auto" w:fill="FFFFFF"/>
            <w:tcMar>
              <w:left w:w="85" w:type="dxa"/>
              <w:right w:w="85" w:type="dxa"/>
            </w:tcMar>
            <w:vAlign w:val="center"/>
          </w:tcPr>
          <w:p w14:paraId="7E4C44F2" w14:textId="77777777" w:rsidR="00EB50F8" w:rsidRPr="006D1BC4" w:rsidRDefault="00EB50F8" w:rsidP="00EB50F8">
            <w:pPr>
              <w:rPr>
                <w:sz w:val="16"/>
                <w:szCs w:val="22"/>
              </w:rPr>
            </w:pPr>
            <w:r>
              <w:rPr>
                <w:sz w:val="16"/>
                <w:szCs w:val="22"/>
              </w:rPr>
              <w:t>В1</w:t>
            </w:r>
          </w:p>
        </w:tc>
        <w:tc>
          <w:tcPr>
            <w:tcW w:w="1981" w:type="dxa"/>
            <w:gridSpan w:val="2"/>
            <w:tcBorders>
              <w:top w:val="single" w:sz="4" w:space="0" w:color="auto"/>
            </w:tcBorders>
            <w:shd w:val="clear" w:color="auto" w:fill="FFFFFF"/>
            <w:tcMar>
              <w:left w:w="85" w:type="dxa"/>
              <w:right w:w="85" w:type="dxa"/>
            </w:tcMar>
            <w:vAlign w:val="center"/>
          </w:tcPr>
          <w:p w14:paraId="4EFDE742" w14:textId="77777777" w:rsidR="00EB50F8" w:rsidRPr="006D1BC4" w:rsidRDefault="00EB50F8" w:rsidP="00EB50F8">
            <w:pPr>
              <w:rPr>
                <w:sz w:val="16"/>
                <w:szCs w:val="22"/>
              </w:rPr>
            </w:pPr>
            <w:r>
              <w:rPr>
                <w:sz w:val="16"/>
                <w:szCs w:val="22"/>
              </w:rPr>
              <w:t>В2</w:t>
            </w:r>
          </w:p>
        </w:tc>
        <w:tc>
          <w:tcPr>
            <w:tcW w:w="2949" w:type="dxa"/>
            <w:gridSpan w:val="3"/>
            <w:tcBorders>
              <w:top w:val="single" w:sz="4" w:space="0" w:color="auto"/>
            </w:tcBorders>
            <w:shd w:val="clear" w:color="auto" w:fill="FFFFFF"/>
            <w:tcMar>
              <w:left w:w="85" w:type="dxa"/>
              <w:right w:w="85" w:type="dxa"/>
            </w:tcMar>
            <w:vAlign w:val="center"/>
          </w:tcPr>
          <w:p w14:paraId="7D9DA5D1" w14:textId="77777777" w:rsidR="00EB50F8" w:rsidRPr="006D1BC4" w:rsidRDefault="00EB50F8" w:rsidP="00EB50F8">
            <w:pPr>
              <w:rPr>
                <w:sz w:val="16"/>
                <w:szCs w:val="22"/>
              </w:rPr>
            </w:pPr>
            <w:r>
              <w:rPr>
                <w:sz w:val="16"/>
                <w:szCs w:val="22"/>
              </w:rPr>
              <w:t>В3</w:t>
            </w:r>
          </w:p>
        </w:tc>
        <w:tc>
          <w:tcPr>
            <w:tcW w:w="769" w:type="dxa"/>
            <w:tcBorders>
              <w:top w:val="single" w:sz="4" w:space="0" w:color="auto"/>
            </w:tcBorders>
            <w:shd w:val="clear" w:color="auto" w:fill="FFFFFF"/>
            <w:tcMar>
              <w:left w:w="85" w:type="dxa"/>
              <w:right w:w="85" w:type="dxa"/>
            </w:tcMar>
            <w:vAlign w:val="center"/>
          </w:tcPr>
          <w:p w14:paraId="23EF30C6" w14:textId="77777777" w:rsidR="00EB50F8" w:rsidRPr="006D1BC4" w:rsidRDefault="00EB50F8" w:rsidP="00EB50F8">
            <w:pPr>
              <w:rPr>
                <w:sz w:val="16"/>
                <w:szCs w:val="22"/>
              </w:rPr>
            </w:pPr>
            <w:r>
              <w:rPr>
                <w:sz w:val="16"/>
                <w:szCs w:val="22"/>
              </w:rPr>
              <w:t>В4</w:t>
            </w:r>
          </w:p>
        </w:tc>
      </w:tr>
      <w:tr w:rsidR="00EB50F8" w:rsidRPr="006D1BC4" w14:paraId="3C032288" w14:textId="77777777" w:rsidTr="00EB50F8">
        <w:trPr>
          <w:cantSplit/>
          <w:trHeight w:val="355"/>
        </w:trPr>
        <w:tc>
          <w:tcPr>
            <w:tcW w:w="1048" w:type="dxa"/>
            <w:tcBorders>
              <w:top w:val="single" w:sz="4" w:space="0" w:color="auto"/>
            </w:tcBorders>
            <w:shd w:val="clear" w:color="auto" w:fill="FFFFFF"/>
            <w:tcMar>
              <w:left w:w="85" w:type="dxa"/>
              <w:right w:w="85" w:type="dxa"/>
            </w:tcMar>
            <w:vAlign w:val="center"/>
          </w:tcPr>
          <w:p w14:paraId="62810750" w14:textId="77777777" w:rsidR="00EB50F8" w:rsidRPr="006D1BC4" w:rsidRDefault="00EB50F8" w:rsidP="00EB50F8">
            <w:pPr>
              <w:rPr>
                <w:sz w:val="16"/>
                <w:szCs w:val="22"/>
              </w:rPr>
            </w:pPr>
            <w:r>
              <w:rPr>
                <w:sz w:val="16"/>
                <w:szCs w:val="22"/>
              </w:rPr>
              <w:t>день 0</w:t>
            </w:r>
          </w:p>
        </w:tc>
        <w:tc>
          <w:tcPr>
            <w:tcW w:w="1013" w:type="dxa"/>
            <w:tcBorders>
              <w:top w:val="single" w:sz="4" w:space="0" w:color="auto"/>
            </w:tcBorders>
            <w:shd w:val="clear" w:color="auto" w:fill="FFFFFF"/>
            <w:tcMar>
              <w:left w:w="85" w:type="dxa"/>
              <w:right w:w="85" w:type="dxa"/>
            </w:tcMar>
            <w:vAlign w:val="center"/>
          </w:tcPr>
          <w:p w14:paraId="0B02655A" w14:textId="77777777" w:rsidR="00EB50F8" w:rsidRPr="006D1BC4" w:rsidRDefault="00EB50F8" w:rsidP="00EB50F8">
            <w:pPr>
              <w:rPr>
                <w:sz w:val="16"/>
                <w:szCs w:val="22"/>
              </w:rPr>
            </w:pPr>
            <w:r>
              <w:rPr>
                <w:sz w:val="16"/>
                <w:szCs w:val="22"/>
              </w:rPr>
              <w:t>день 1</w:t>
            </w:r>
          </w:p>
        </w:tc>
        <w:tc>
          <w:tcPr>
            <w:tcW w:w="983" w:type="dxa"/>
            <w:tcBorders>
              <w:top w:val="single" w:sz="4" w:space="0" w:color="auto"/>
            </w:tcBorders>
            <w:shd w:val="clear" w:color="auto" w:fill="FFFFFF"/>
            <w:tcMar>
              <w:left w:w="85" w:type="dxa"/>
              <w:right w:w="85" w:type="dxa"/>
            </w:tcMar>
            <w:vAlign w:val="center"/>
          </w:tcPr>
          <w:p w14:paraId="75F6E6A3" w14:textId="77777777" w:rsidR="00EB50F8" w:rsidRPr="006D1BC4" w:rsidRDefault="00EB50F8" w:rsidP="00EB50F8">
            <w:pPr>
              <w:rPr>
                <w:sz w:val="16"/>
                <w:szCs w:val="22"/>
              </w:rPr>
            </w:pPr>
            <w:r>
              <w:rPr>
                <w:sz w:val="16"/>
                <w:szCs w:val="22"/>
              </w:rPr>
              <w:t>день 2</w:t>
            </w:r>
          </w:p>
        </w:tc>
        <w:tc>
          <w:tcPr>
            <w:tcW w:w="968" w:type="dxa"/>
            <w:tcBorders>
              <w:top w:val="single" w:sz="4" w:space="0" w:color="auto"/>
            </w:tcBorders>
            <w:shd w:val="clear" w:color="auto" w:fill="FFFFFF"/>
            <w:tcMar>
              <w:left w:w="85" w:type="dxa"/>
              <w:right w:w="85" w:type="dxa"/>
            </w:tcMar>
            <w:vAlign w:val="center"/>
          </w:tcPr>
          <w:p w14:paraId="1BFAFD38" w14:textId="77777777" w:rsidR="00EB50F8" w:rsidRPr="006D1BC4" w:rsidRDefault="00EB50F8" w:rsidP="00EB50F8">
            <w:pPr>
              <w:rPr>
                <w:sz w:val="16"/>
                <w:szCs w:val="22"/>
              </w:rPr>
            </w:pPr>
            <w:r>
              <w:rPr>
                <w:sz w:val="16"/>
                <w:szCs w:val="22"/>
              </w:rPr>
              <w:t>день 3</w:t>
            </w:r>
          </w:p>
        </w:tc>
        <w:tc>
          <w:tcPr>
            <w:tcW w:w="998" w:type="dxa"/>
            <w:tcBorders>
              <w:top w:val="single" w:sz="4" w:space="0" w:color="auto"/>
            </w:tcBorders>
            <w:shd w:val="clear" w:color="auto" w:fill="FFFFFF"/>
            <w:tcMar>
              <w:left w:w="85" w:type="dxa"/>
              <w:right w:w="85" w:type="dxa"/>
            </w:tcMar>
            <w:vAlign w:val="center"/>
          </w:tcPr>
          <w:p w14:paraId="06D10685" w14:textId="77777777" w:rsidR="00EB50F8" w:rsidRPr="006D1BC4" w:rsidRDefault="00EB50F8" w:rsidP="00EB50F8">
            <w:pPr>
              <w:rPr>
                <w:sz w:val="16"/>
                <w:szCs w:val="22"/>
              </w:rPr>
            </w:pPr>
            <w:r>
              <w:rPr>
                <w:sz w:val="16"/>
                <w:szCs w:val="22"/>
              </w:rPr>
              <w:t>день 4</w:t>
            </w:r>
          </w:p>
        </w:tc>
        <w:tc>
          <w:tcPr>
            <w:tcW w:w="998" w:type="dxa"/>
            <w:tcBorders>
              <w:top w:val="single" w:sz="4" w:space="0" w:color="auto"/>
            </w:tcBorders>
            <w:shd w:val="clear" w:color="auto" w:fill="FFFFFF"/>
            <w:tcMar>
              <w:left w:w="85" w:type="dxa"/>
              <w:right w:w="85" w:type="dxa"/>
            </w:tcMar>
            <w:vAlign w:val="center"/>
          </w:tcPr>
          <w:p w14:paraId="1BF3C022" w14:textId="77777777" w:rsidR="00EB50F8" w:rsidRPr="006D1BC4" w:rsidRDefault="00EB50F8" w:rsidP="00EB50F8">
            <w:pPr>
              <w:rPr>
                <w:sz w:val="16"/>
                <w:szCs w:val="22"/>
              </w:rPr>
            </w:pPr>
            <w:r>
              <w:rPr>
                <w:sz w:val="16"/>
                <w:szCs w:val="22"/>
              </w:rPr>
              <w:t>день 5</w:t>
            </w:r>
          </w:p>
        </w:tc>
        <w:tc>
          <w:tcPr>
            <w:tcW w:w="983" w:type="dxa"/>
            <w:tcBorders>
              <w:top w:val="single" w:sz="4" w:space="0" w:color="auto"/>
            </w:tcBorders>
            <w:shd w:val="clear" w:color="auto" w:fill="FFFFFF"/>
            <w:tcMar>
              <w:left w:w="85" w:type="dxa"/>
              <w:right w:w="85" w:type="dxa"/>
            </w:tcMar>
            <w:vAlign w:val="center"/>
          </w:tcPr>
          <w:p w14:paraId="711EAB72" w14:textId="77777777" w:rsidR="00EB50F8" w:rsidRPr="006D1BC4" w:rsidRDefault="00EB50F8" w:rsidP="00EB50F8">
            <w:pPr>
              <w:rPr>
                <w:sz w:val="16"/>
                <w:szCs w:val="22"/>
              </w:rPr>
            </w:pPr>
            <w:r>
              <w:rPr>
                <w:sz w:val="16"/>
                <w:szCs w:val="22"/>
              </w:rPr>
              <w:t>день 6</w:t>
            </w:r>
          </w:p>
        </w:tc>
        <w:tc>
          <w:tcPr>
            <w:tcW w:w="968" w:type="dxa"/>
            <w:tcBorders>
              <w:top w:val="single" w:sz="4" w:space="0" w:color="auto"/>
            </w:tcBorders>
            <w:shd w:val="clear" w:color="auto" w:fill="FFFFFF"/>
            <w:tcMar>
              <w:left w:w="85" w:type="dxa"/>
              <w:right w:w="85" w:type="dxa"/>
            </w:tcMar>
            <w:vAlign w:val="center"/>
          </w:tcPr>
          <w:p w14:paraId="40A41F1D" w14:textId="77777777" w:rsidR="00EB50F8" w:rsidRPr="006D1BC4" w:rsidRDefault="00EB50F8" w:rsidP="00EB50F8">
            <w:pPr>
              <w:rPr>
                <w:sz w:val="16"/>
                <w:szCs w:val="22"/>
              </w:rPr>
            </w:pPr>
            <w:r>
              <w:rPr>
                <w:sz w:val="16"/>
                <w:szCs w:val="22"/>
              </w:rPr>
              <w:t>день 7</w:t>
            </w:r>
          </w:p>
        </w:tc>
        <w:tc>
          <w:tcPr>
            <w:tcW w:w="983" w:type="dxa"/>
            <w:tcBorders>
              <w:top w:val="single" w:sz="4" w:space="0" w:color="auto"/>
            </w:tcBorders>
            <w:shd w:val="clear" w:color="auto" w:fill="FFFFFF"/>
            <w:tcMar>
              <w:left w:w="85" w:type="dxa"/>
              <w:right w:w="85" w:type="dxa"/>
            </w:tcMar>
            <w:vAlign w:val="center"/>
          </w:tcPr>
          <w:p w14:paraId="734A682F" w14:textId="77777777" w:rsidR="00EB50F8" w:rsidRPr="006D1BC4" w:rsidRDefault="00EB50F8" w:rsidP="00EB50F8">
            <w:pPr>
              <w:rPr>
                <w:sz w:val="16"/>
                <w:szCs w:val="22"/>
              </w:rPr>
            </w:pPr>
            <w:r>
              <w:rPr>
                <w:sz w:val="16"/>
                <w:szCs w:val="22"/>
              </w:rPr>
              <w:t>день 8</w:t>
            </w:r>
          </w:p>
        </w:tc>
        <w:tc>
          <w:tcPr>
            <w:tcW w:w="998" w:type="dxa"/>
            <w:tcBorders>
              <w:top w:val="single" w:sz="4" w:space="0" w:color="auto"/>
            </w:tcBorders>
            <w:shd w:val="clear" w:color="auto" w:fill="FFFFFF"/>
            <w:tcMar>
              <w:left w:w="85" w:type="dxa"/>
              <w:right w:w="85" w:type="dxa"/>
            </w:tcMar>
            <w:vAlign w:val="center"/>
          </w:tcPr>
          <w:p w14:paraId="088BCC50" w14:textId="77777777" w:rsidR="00EB50F8" w:rsidRPr="006D1BC4" w:rsidRDefault="00EB50F8" w:rsidP="00EB50F8">
            <w:pPr>
              <w:rPr>
                <w:sz w:val="16"/>
                <w:szCs w:val="22"/>
              </w:rPr>
            </w:pPr>
            <w:r>
              <w:rPr>
                <w:sz w:val="16"/>
                <w:szCs w:val="22"/>
              </w:rPr>
              <w:t>день 9</w:t>
            </w:r>
          </w:p>
        </w:tc>
        <w:tc>
          <w:tcPr>
            <w:tcW w:w="769" w:type="dxa"/>
            <w:tcBorders>
              <w:top w:val="single" w:sz="4" w:space="0" w:color="auto"/>
            </w:tcBorders>
            <w:shd w:val="clear" w:color="auto" w:fill="FFFFFF"/>
            <w:tcMar>
              <w:left w:w="85" w:type="dxa"/>
              <w:right w:w="85" w:type="dxa"/>
            </w:tcMar>
            <w:vAlign w:val="center"/>
          </w:tcPr>
          <w:p w14:paraId="7629C8A4" w14:textId="77777777" w:rsidR="00EB50F8" w:rsidRPr="006D1BC4" w:rsidRDefault="00EB50F8" w:rsidP="00EB50F8">
            <w:pPr>
              <w:rPr>
                <w:sz w:val="16"/>
                <w:szCs w:val="22"/>
              </w:rPr>
            </w:pPr>
            <w:r>
              <w:rPr>
                <w:sz w:val="16"/>
                <w:szCs w:val="22"/>
              </w:rPr>
              <w:t>день 10</w:t>
            </w:r>
          </w:p>
        </w:tc>
      </w:tr>
      <w:tr w:rsidR="00EB50F8" w:rsidRPr="006D1BC4" w14:paraId="33E0E5F5" w14:textId="77777777" w:rsidTr="00EB50F8">
        <w:trPr>
          <w:cantSplit/>
          <w:trHeight w:val="540"/>
        </w:trPr>
        <w:tc>
          <w:tcPr>
            <w:tcW w:w="10709" w:type="dxa"/>
            <w:gridSpan w:val="11"/>
            <w:shd w:val="clear" w:color="auto" w:fill="FFFFFF"/>
            <w:tcMar>
              <w:left w:w="85" w:type="dxa"/>
              <w:right w:w="85" w:type="dxa"/>
            </w:tcMar>
            <w:vAlign w:val="center"/>
          </w:tcPr>
          <w:p w14:paraId="5F50850F" w14:textId="77777777" w:rsidR="00EB50F8" w:rsidRPr="006D1BC4" w:rsidRDefault="00EB50F8" w:rsidP="00EB50F8">
            <w:pPr>
              <w:rPr>
                <w:i/>
                <w:iCs/>
                <w:sz w:val="16"/>
                <w:szCs w:val="22"/>
              </w:rPr>
            </w:pPr>
            <w:r>
              <w:rPr>
                <w:i/>
                <w:iCs/>
                <w:sz w:val="16"/>
                <w:szCs w:val="22"/>
              </w:rPr>
              <w:t>Основная группа</w:t>
            </w:r>
          </w:p>
          <w:p w14:paraId="2F0D7F7F" w14:textId="77777777" w:rsidR="00EB50F8" w:rsidRPr="006D1BC4" w:rsidRDefault="00EB50F8" w:rsidP="00EB50F8">
            <w:pPr>
              <w:rPr>
                <w:sz w:val="16"/>
                <w:szCs w:val="22"/>
              </w:rPr>
            </w:pPr>
            <w:r>
              <w:rPr>
                <w:sz w:val="16"/>
                <w:szCs w:val="22"/>
              </w:rPr>
              <w:t>Терапевтическая ирригация + Синупрет, сироп — 10 дней</w:t>
            </w:r>
          </w:p>
        </w:tc>
      </w:tr>
      <w:tr w:rsidR="00EB50F8" w:rsidRPr="006D1BC4" w14:paraId="362DB63B" w14:textId="77777777" w:rsidTr="00EB50F8">
        <w:trPr>
          <w:cantSplit/>
          <w:trHeight w:val="1214"/>
        </w:trPr>
        <w:tc>
          <w:tcPr>
            <w:tcW w:w="10709" w:type="dxa"/>
            <w:gridSpan w:val="11"/>
            <w:tcBorders>
              <w:bottom w:val="single" w:sz="4" w:space="0" w:color="auto"/>
            </w:tcBorders>
            <w:shd w:val="clear" w:color="auto" w:fill="FFFFFF"/>
            <w:tcMar>
              <w:left w:w="85" w:type="dxa"/>
              <w:right w:w="85" w:type="dxa"/>
            </w:tcMar>
            <w:vAlign w:val="center"/>
          </w:tcPr>
          <w:p w14:paraId="55E2B208" w14:textId="77777777" w:rsidR="00EB50F8" w:rsidRPr="006D1BC4" w:rsidRDefault="00EB50F8" w:rsidP="00EB50F8">
            <w:pPr>
              <w:rPr>
                <w:i/>
                <w:iCs/>
                <w:sz w:val="16"/>
                <w:szCs w:val="22"/>
              </w:rPr>
            </w:pPr>
            <w:r>
              <w:rPr>
                <w:i/>
                <w:iCs/>
                <w:sz w:val="16"/>
                <w:szCs w:val="22"/>
              </w:rPr>
              <w:t>Контрольная группа</w:t>
            </w:r>
          </w:p>
          <w:p w14:paraId="74D4C86D" w14:textId="77777777" w:rsidR="00EB50F8" w:rsidRPr="006D1BC4" w:rsidRDefault="00EB50F8" w:rsidP="00EB50F8">
            <w:pPr>
              <w:rPr>
                <w:sz w:val="16"/>
                <w:szCs w:val="22"/>
              </w:rPr>
            </w:pPr>
            <w:r>
              <w:rPr>
                <w:sz w:val="16"/>
                <w:szCs w:val="22"/>
              </w:rPr>
              <w:t>Терапевтическая ирригация — 10 дней</w:t>
            </w:r>
          </w:p>
          <w:p w14:paraId="2219F08A" w14:textId="77777777" w:rsidR="00EB50F8" w:rsidRPr="006D1BC4" w:rsidRDefault="00EB50F8" w:rsidP="00EB50F8">
            <w:pPr>
              <w:rPr>
                <w:sz w:val="16"/>
                <w:szCs w:val="22"/>
              </w:rPr>
            </w:pPr>
            <w:r>
              <w:rPr>
                <w:sz w:val="16"/>
                <w:szCs w:val="22"/>
              </w:rPr>
              <w:t>День 0 В1 Скрининг, рандомизация, назначение лечения</w:t>
            </w:r>
          </w:p>
          <w:p w14:paraId="582DAA2F" w14:textId="77777777" w:rsidR="00EB50F8" w:rsidRPr="006D1BC4" w:rsidRDefault="00EB50F8" w:rsidP="00EB50F8">
            <w:pPr>
              <w:rPr>
                <w:sz w:val="16"/>
                <w:szCs w:val="22"/>
              </w:rPr>
            </w:pPr>
            <w:r>
              <w:rPr>
                <w:sz w:val="16"/>
                <w:szCs w:val="22"/>
              </w:rPr>
              <w:t>День 5 ± 1 В2 Оценка динамики симптомов и показаний к назначению антибиотикотерапии.</w:t>
            </w:r>
          </w:p>
          <w:p w14:paraId="6AE6B4EC" w14:textId="77777777" w:rsidR="00EB50F8" w:rsidRPr="006D1BC4" w:rsidRDefault="00EB50F8" w:rsidP="00EB50F8">
            <w:pPr>
              <w:rPr>
                <w:sz w:val="16"/>
                <w:szCs w:val="22"/>
              </w:rPr>
            </w:pPr>
            <w:r>
              <w:rPr>
                <w:sz w:val="16"/>
                <w:szCs w:val="22"/>
              </w:rPr>
              <w:t>День 7 ± 1 В3 Оценка эффективности лечения</w:t>
            </w:r>
          </w:p>
          <w:p w14:paraId="2FB7B87F" w14:textId="77777777" w:rsidR="00EB50F8" w:rsidRPr="006D1BC4" w:rsidRDefault="00EB50F8" w:rsidP="00EB50F8">
            <w:pPr>
              <w:rPr>
                <w:sz w:val="16"/>
                <w:szCs w:val="22"/>
              </w:rPr>
            </w:pPr>
            <w:r>
              <w:rPr>
                <w:sz w:val="16"/>
                <w:szCs w:val="22"/>
              </w:rPr>
              <w:t>День 10 ± 1 В4 Оценка эффективности лечения, завершения лечения</w:t>
            </w:r>
          </w:p>
        </w:tc>
      </w:tr>
    </w:tbl>
    <w:p w14:paraId="16B0B51D" w14:textId="277E5DF4" w:rsidR="00EB50F8" w:rsidRDefault="00EB50F8" w:rsidP="00732819">
      <w:pPr>
        <w:ind w:firstLine="284"/>
      </w:pPr>
    </w:p>
    <w:p w14:paraId="35E72E63" w14:textId="77777777" w:rsidR="00EB50F8" w:rsidRDefault="00EB50F8" w:rsidP="00AE2A69">
      <w:pPr>
        <w:spacing w:before="120" w:after="240"/>
        <w:ind w:firstLine="284"/>
        <w:sectPr w:rsidR="00EB50F8" w:rsidSect="00EB50F8">
          <w:pgSz w:w="12240" w:h="16834"/>
          <w:pgMar w:top="993" w:right="680" w:bottom="1135" w:left="851" w:header="567" w:footer="567" w:gutter="0"/>
          <w:cols w:space="347"/>
          <w:noEndnote/>
          <w:docGrid w:linePitch="360"/>
        </w:sectPr>
      </w:pPr>
    </w:p>
    <w:p w14:paraId="343B8D39" w14:textId="77777777" w:rsidR="00887103" w:rsidRPr="006D1BC4" w:rsidRDefault="00737FC5" w:rsidP="00AE2A69">
      <w:pPr>
        <w:ind w:firstLine="284"/>
      </w:pPr>
      <w:r>
        <w:t>Критерии диагностики и дифференциальной диагностики острого риносинусита оценивались в соответствии с рекомендациями, предоставляющимися в европейских и национальных клинических рекомендациях [</w:t>
      </w:r>
      <w:hyperlink w:anchor="bookmark17" w:tooltip="Текущий документ">
        <w:r>
          <w:rPr>
            <w:color w:val="2B7CA5"/>
          </w:rPr>
          <w:t>2</w:t>
        </w:r>
      </w:hyperlink>
      <w:r>
        <w:t>,</w:t>
      </w:r>
      <w:hyperlink w:anchor="bookmark34" w:tooltip="Текущий документ">
        <w:r>
          <w:rPr>
            <w:color w:val="2B7CA5"/>
          </w:rPr>
          <w:t>19</w:t>
        </w:r>
      </w:hyperlink>
      <w:r>
        <w:t>].</w:t>
      </w:r>
    </w:p>
    <w:p w14:paraId="6BA5948D" w14:textId="77777777" w:rsidR="00887103" w:rsidRPr="006D1BC4" w:rsidRDefault="00737FC5" w:rsidP="00732819">
      <w:pPr>
        <w:ind w:firstLine="284"/>
      </w:pPr>
      <w:r>
        <w:t>Диагноз вирусного риносинусита устанавливается при наличии соответствующих симптомов (заложенность носа или назальная обструкция или выделения из носа (передняя ринорея или стекание по задней стенке носоглотки), а также ощущение давления/боль в лице и кашель (днем и ночью) до 10 дней без их усиления через 5 дней, поствирусного риносинусита — если симптомы сохраняются более 10 дней или, если симптомы риносинусита усилились через 5 дней.</w:t>
      </w:r>
    </w:p>
    <w:p w14:paraId="4A40E50D" w14:textId="77777777" w:rsidR="00887103" w:rsidRPr="006D1BC4" w:rsidRDefault="00737FC5" w:rsidP="00732819">
      <w:pPr>
        <w:ind w:firstLine="284"/>
      </w:pPr>
      <w:r>
        <w:t>В зависимости от назначенного лечения всех пациентов распределили на две группы: основную и контрольную.</w:t>
      </w:r>
    </w:p>
    <w:p w14:paraId="369FF911" w14:textId="31A60F9B" w:rsidR="00887103" w:rsidRPr="006D1BC4" w:rsidRDefault="00737FC5" w:rsidP="00732819">
      <w:pPr>
        <w:ind w:firstLine="284"/>
      </w:pPr>
      <w:r>
        <w:t>Девяносто шесть (96) из 168 пациентов с вирусным РС включили в основную группу, где было 54 (56,2 %) мальчика и 42 (43,8 %) девочки. Семьдесят два (72) пациента в контрольной группе: 39 мальчиков (54,2 %) и 33 девочки (45,8 %). Пятьдесят восемь (58) из 107 пациентов с поствирусным РС включили в основную группу, где было 31 (53,4 %) мальчик и 27 (46,6 %) девочек. Сорок девять (49) пациента в контрольной группе: 27 мальчиков (55,1 %) и 22 девочки (44,9 %). В целом среди пациентов, завершивших участие в исследовании, мальчиков было немного больше, чем девочек (54,9 % в сравнении с 45,1 %).</w:t>
      </w:r>
    </w:p>
    <w:p w14:paraId="0FD24086" w14:textId="77777777" w:rsidR="00EB50F8" w:rsidRPr="006D1BC4" w:rsidRDefault="00EB50F8" w:rsidP="00EB50F8">
      <w:pPr>
        <w:ind w:firstLine="284"/>
      </w:pPr>
      <w:bookmarkStart w:id="0" w:name="bookmark0"/>
      <w:r>
        <w:t>Средний возраст пациентов с вирусным РС составил 8,17 ± 3,219 года, а с поствирусным РС — 9,46 ± 3,296 года.</w:t>
      </w:r>
    </w:p>
    <w:p w14:paraId="10020862" w14:textId="77777777" w:rsidR="00EB50F8" w:rsidRPr="006D1BC4" w:rsidRDefault="00EB50F8" w:rsidP="00EB50F8">
      <w:pPr>
        <w:ind w:firstLine="284"/>
      </w:pPr>
      <w:r>
        <w:t>В целом не было значимых различий в демографических характеристиках среди пациентов с вирусным и поствирусным РС в основной и контрольной группы.</w:t>
      </w:r>
    </w:p>
    <w:p w14:paraId="390857D1" w14:textId="77777777" w:rsidR="00EB50F8" w:rsidRPr="006D1BC4" w:rsidRDefault="00EB50F8" w:rsidP="00EB50F8">
      <w:pPr>
        <w:spacing w:after="240"/>
        <w:ind w:firstLine="284"/>
      </w:pPr>
      <w:r>
        <w:t>Критерии включения:</w:t>
      </w:r>
    </w:p>
    <w:p w14:paraId="101DB9F5" w14:textId="77777777" w:rsidR="00EB50F8" w:rsidRPr="006D1BC4" w:rsidRDefault="00EB50F8" w:rsidP="00EB50F8">
      <w:pPr>
        <w:pStyle w:val="aa"/>
        <w:numPr>
          <w:ilvl w:val="0"/>
          <w:numId w:val="4"/>
        </w:numPr>
        <w:ind w:left="284" w:hanging="142"/>
      </w:pPr>
      <w:r>
        <w:t>Девочки и мальчики в возрасте 6–11 лет, проходящие лечение в условиях поликлиники по поводу острого риносинусита;</w:t>
      </w:r>
    </w:p>
    <w:p w14:paraId="5F7394FD" w14:textId="77777777" w:rsidR="00EB50F8" w:rsidRPr="006D1BC4" w:rsidRDefault="00EB50F8" w:rsidP="00EB50F8">
      <w:pPr>
        <w:pStyle w:val="aa"/>
        <w:numPr>
          <w:ilvl w:val="0"/>
          <w:numId w:val="4"/>
        </w:numPr>
        <w:ind w:left="284" w:hanging="142"/>
      </w:pPr>
      <w:r>
        <w:t>желание и способность пациента и/или его родителей соблюдать требования протокола исследования;</w:t>
      </w:r>
    </w:p>
    <w:p w14:paraId="70279575" w14:textId="77777777" w:rsidR="00EB50F8" w:rsidRPr="006D1BC4" w:rsidRDefault="00EB50F8" w:rsidP="00EB50F8">
      <w:pPr>
        <w:pStyle w:val="aa"/>
        <w:numPr>
          <w:ilvl w:val="0"/>
          <w:numId w:val="4"/>
        </w:numPr>
        <w:ind w:left="284" w:hanging="142"/>
      </w:pPr>
      <w:r>
        <w:t>предоставление подписанного информированного согласия.</w:t>
      </w:r>
    </w:p>
    <w:p w14:paraId="399DAAC2" w14:textId="77777777" w:rsidR="00EB50F8" w:rsidRPr="006D1BC4" w:rsidRDefault="00EB50F8" w:rsidP="00EB50F8">
      <w:pPr>
        <w:spacing w:before="240" w:after="240"/>
        <w:ind w:firstLine="284"/>
      </w:pPr>
      <w:r>
        <w:t>Критерии прекращения участия:</w:t>
      </w:r>
    </w:p>
    <w:p w14:paraId="70AC94B0" w14:textId="77777777" w:rsidR="00EB50F8" w:rsidRPr="006D1BC4" w:rsidRDefault="00EB50F8" w:rsidP="00EB50F8">
      <w:pPr>
        <w:pStyle w:val="aa"/>
        <w:numPr>
          <w:ilvl w:val="0"/>
          <w:numId w:val="4"/>
        </w:numPr>
        <w:ind w:left="284" w:hanging="142"/>
      </w:pPr>
      <w:r>
        <w:t>решение пациента и/или родителей прекратить участие в исследовании и отзыв письменного информированного согласия;</w:t>
      </w:r>
    </w:p>
    <w:p w14:paraId="27D11754" w14:textId="77777777" w:rsidR="00EB50F8" w:rsidRPr="006D1BC4" w:rsidRDefault="00EB50F8" w:rsidP="00EB50F8">
      <w:pPr>
        <w:pStyle w:val="aa"/>
        <w:numPr>
          <w:ilvl w:val="0"/>
          <w:numId w:val="4"/>
        </w:numPr>
        <w:ind w:left="284" w:hanging="142"/>
      </w:pPr>
      <w:r>
        <w:t>потеря контакта с пациентом;</w:t>
      </w:r>
    </w:p>
    <w:p w14:paraId="1B78C0DE" w14:textId="77777777" w:rsidR="00EB50F8" w:rsidRPr="006D1BC4" w:rsidRDefault="00EB50F8" w:rsidP="00EB50F8">
      <w:pPr>
        <w:pStyle w:val="aa"/>
        <w:numPr>
          <w:ilvl w:val="0"/>
          <w:numId w:val="4"/>
        </w:numPr>
        <w:ind w:left="284" w:hanging="142"/>
      </w:pPr>
      <w:r>
        <w:t>индивидуальная непереносимость исследуемого препарата и стандартной схемы лечения;</w:t>
      </w:r>
    </w:p>
    <w:p w14:paraId="028BC5D7" w14:textId="77777777" w:rsidR="00EB50F8" w:rsidRPr="006D1BC4" w:rsidRDefault="00EB50F8" w:rsidP="00EB50F8">
      <w:pPr>
        <w:pStyle w:val="aa"/>
        <w:numPr>
          <w:ilvl w:val="0"/>
          <w:numId w:val="4"/>
        </w:numPr>
        <w:ind w:left="284" w:hanging="142"/>
      </w:pPr>
      <w:r>
        <w:t>возникновение у пациента в ходе исследования серьезных и/или непредвиденных нежелательных явлений/реакций; значительное ухудшение общего состояния;</w:t>
      </w:r>
    </w:p>
    <w:p w14:paraId="47317DA1" w14:textId="77777777" w:rsidR="00EB50F8" w:rsidRPr="006D1BC4" w:rsidRDefault="00EB50F8" w:rsidP="00EB50F8">
      <w:pPr>
        <w:pStyle w:val="aa"/>
        <w:numPr>
          <w:ilvl w:val="0"/>
          <w:numId w:val="4"/>
        </w:numPr>
        <w:ind w:left="284" w:hanging="142"/>
      </w:pPr>
      <w:r>
        <w:t>развитие осложнений основного заболевания, которые, по мнению врача, требуют прекращения участия в исследовании;</w:t>
      </w:r>
    </w:p>
    <w:p w14:paraId="50AD6FFE" w14:textId="77777777" w:rsidR="00EB50F8" w:rsidRPr="006D1BC4" w:rsidRDefault="00EB50F8" w:rsidP="00EB50F8">
      <w:pPr>
        <w:pStyle w:val="aa"/>
        <w:numPr>
          <w:ilvl w:val="0"/>
          <w:numId w:val="4"/>
        </w:numPr>
        <w:ind w:left="284" w:hanging="142"/>
      </w:pPr>
      <w:r>
        <w:t>несоблюдение пациентом процедур, предусмотренных Протоколом.</w:t>
      </w:r>
    </w:p>
    <w:p w14:paraId="28AE4056" w14:textId="77777777" w:rsidR="00EB50F8" w:rsidRPr="006D1BC4" w:rsidRDefault="00EB50F8" w:rsidP="00EB50F8">
      <w:pPr>
        <w:spacing w:before="240" w:after="240"/>
        <w:ind w:firstLine="284"/>
      </w:pPr>
      <w:r>
        <w:t>Критерии невключения:</w:t>
      </w:r>
    </w:p>
    <w:p w14:paraId="3FE6EDA5" w14:textId="77777777" w:rsidR="00EB50F8" w:rsidRPr="006D1BC4" w:rsidRDefault="00EB50F8" w:rsidP="00EB50F8">
      <w:pPr>
        <w:pStyle w:val="aa"/>
        <w:numPr>
          <w:ilvl w:val="0"/>
          <w:numId w:val="4"/>
        </w:numPr>
        <w:ind w:left="284" w:hanging="142"/>
      </w:pPr>
      <w:r>
        <w:t>использование одной из лекарственных форм исследуемого растительного лекарственного средства в течение 30 дней до начала риносинусита;</w:t>
      </w:r>
    </w:p>
    <w:p w14:paraId="1937BAF2" w14:textId="77777777" w:rsidR="00EB50F8" w:rsidRPr="006D1BC4" w:rsidRDefault="00EB50F8" w:rsidP="00EB50F8">
      <w:pPr>
        <w:pStyle w:val="aa"/>
        <w:numPr>
          <w:ilvl w:val="0"/>
          <w:numId w:val="4"/>
        </w:numPr>
        <w:ind w:left="284" w:hanging="142"/>
      </w:pPr>
      <w:r>
        <w:t>показание к немедленному назначению системной антибиотикотерапии;</w:t>
      </w:r>
    </w:p>
    <w:p w14:paraId="0A0B8DE4" w14:textId="77777777" w:rsidR="00EB50F8" w:rsidRPr="006D1BC4" w:rsidRDefault="00EB50F8" w:rsidP="00EB50F8">
      <w:pPr>
        <w:pStyle w:val="aa"/>
        <w:numPr>
          <w:ilvl w:val="0"/>
          <w:numId w:val="4"/>
        </w:numPr>
        <w:ind w:left="284" w:hanging="142"/>
      </w:pPr>
      <w:r>
        <w:t>диагноз аллергического риносинусита;</w:t>
      </w:r>
    </w:p>
    <w:p w14:paraId="784F0B3D" w14:textId="77777777" w:rsidR="00EB50F8" w:rsidRPr="006D1BC4" w:rsidRDefault="00EB50F8" w:rsidP="00EB50F8">
      <w:pPr>
        <w:pStyle w:val="aa"/>
        <w:numPr>
          <w:ilvl w:val="0"/>
          <w:numId w:val="4"/>
        </w:numPr>
        <w:ind w:left="284" w:hanging="142"/>
      </w:pPr>
      <w:r>
        <w:t>использование системных антибактериальных или противогрибковых препаратов, топических и системных глюкокортикостероидов, цитостатиков в течение последних 14 дней;</w:t>
      </w:r>
    </w:p>
    <w:p w14:paraId="0B6F11D5" w14:textId="77777777" w:rsidR="00EB50F8" w:rsidRPr="006D1BC4" w:rsidRDefault="00EB50F8" w:rsidP="00EB50F8">
      <w:pPr>
        <w:pStyle w:val="aa"/>
        <w:numPr>
          <w:ilvl w:val="0"/>
          <w:numId w:val="4"/>
        </w:numPr>
        <w:ind w:left="284" w:hanging="142"/>
      </w:pPr>
      <w:r>
        <w:t>непереносимость или индивидуальная идиосинкразия к любому компоненту исследуемого препарата и стандартной схеме лечения;</w:t>
      </w:r>
    </w:p>
    <w:p w14:paraId="3F0BD6CB" w14:textId="77777777" w:rsidR="00EB50F8" w:rsidRPr="006D1BC4" w:rsidRDefault="00EB50F8" w:rsidP="00EB50F8">
      <w:pPr>
        <w:pStyle w:val="aa"/>
        <w:numPr>
          <w:ilvl w:val="0"/>
          <w:numId w:val="4"/>
        </w:numPr>
        <w:ind w:left="284" w:hanging="142"/>
      </w:pPr>
      <w:r>
        <w:t>хроническая патология и анатомические аномалии остеомеатального комплекса, которые могут повлиять на течение заболевания.</w:t>
      </w:r>
    </w:p>
    <w:p w14:paraId="443C0F59" w14:textId="77777777" w:rsidR="00EB50F8" w:rsidRPr="006D1BC4" w:rsidRDefault="00EB50F8" w:rsidP="00EB50F8">
      <w:pPr>
        <w:spacing w:before="240"/>
        <w:ind w:firstLine="284"/>
      </w:pPr>
      <w:r>
        <w:t>Пациенты двух групп были сопоставимы по полу, возрасту, клиническим проявлениям заболевания (р &lt; 0,05).</w:t>
      </w:r>
    </w:p>
    <w:p w14:paraId="4F25AEDC" w14:textId="77777777" w:rsidR="00EB50F8" w:rsidRPr="006D1BC4" w:rsidRDefault="00EB50F8" w:rsidP="00EB50F8">
      <w:pPr>
        <w:pStyle w:val="Style2"/>
      </w:pPr>
      <w:r>
        <w:t>Лечение</w:t>
      </w:r>
    </w:p>
    <w:p w14:paraId="73B20C7B" w14:textId="77777777" w:rsidR="00EB50F8" w:rsidRPr="006D1BC4" w:rsidRDefault="00EB50F8" w:rsidP="00EB50F8">
      <w:pPr>
        <w:ind w:firstLine="284"/>
      </w:pPr>
      <w:r>
        <w:t>Всем пациентам проводили терапевтическую ирригацию носовой полости изотоническим раствором морской воды 4 раза в сутки и, кроме того, они получали препарат для облегчения симптомов (ацетаминофен).</w:t>
      </w:r>
    </w:p>
    <w:p w14:paraId="1095AD5E" w14:textId="77777777" w:rsidR="00EB50F8" w:rsidRPr="006D1BC4" w:rsidRDefault="00EB50F8" w:rsidP="00EB50F8">
      <w:pPr>
        <w:ind w:firstLine="284"/>
      </w:pPr>
      <w:r>
        <w:t>Пациенты основной группы дополнительно перорально принимали стандартизированный экстракт пяти лекарственных растений BNO 1012 из одной серии в дозе 3,5 мл три раза в сутки после приема пищи. Лечение длилось 10 дней.</w:t>
      </w:r>
    </w:p>
    <w:p w14:paraId="5928AB2A" w14:textId="77777777" w:rsidR="00EB50F8" w:rsidRPr="006D1BC4" w:rsidRDefault="00EB50F8" w:rsidP="00EB50F8">
      <w:pPr>
        <w:spacing w:after="240"/>
        <w:ind w:firstLine="284"/>
      </w:pPr>
      <w:r>
        <w:t>Стандартизированный экстракт BNO 1012 (торговое название Синупрет</w:t>
      </w:r>
      <w:r>
        <w:rPr>
          <w:vertAlign w:val="superscript"/>
        </w:rPr>
        <w:t>®</w:t>
      </w:r>
      <w:r>
        <w:t>, сироп) содержит фиксированную комбинацию пяти лекарственных растений. Действующие вещества: В 100 г сиропа содержится 10 г экстракта (1:11):</w:t>
      </w:r>
    </w:p>
    <w:p w14:paraId="083B570F" w14:textId="77777777" w:rsidR="00EB50F8" w:rsidRPr="007B6C84" w:rsidRDefault="00EB50F8" w:rsidP="00EB50F8">
      <w:pPr>
        <w:ind w:left="284"/>
        <w:rPr>
          <w:i/>
          <w:iCs/>
        </w:rPr>
      </w:pPr>
      <w:r>
        <w:rPr>
          <w:i/>
          <w:iCs/>
        </w:rPr>
        <w:t>корень горечавки (Gentianae radix);</w:t>
      </w:r>
    </w:p>
    <w:p w14:paraId="67878408" w14:textId="77777777" w:rsidR="00EB50F8" w:rsidRPr="007B6C84" w:rsidRDefault="00EB50F8" w:rsidP="00EB50F8">
      <w:pPr>
        <w:ind w:left="284"/>
        <w:rPr>
          <w:i/>
          <w:iCs/>
        </w:rPr>
      </w:pPr>
      <w:r>
        <w:rPr>
          <w:i/>
          <w:iCs/>
        </w:rPr>
        <w:t>вербена лекарственная (Verbenae herba);</w:t>
      </w:r>
    </w:p>
    <w:p w14:paraId="54E11FD7" w14:textId="77777777" w:rsidR="00EB50F8" w:rsidRPr="007B6C84" w:rsidRDefault="00EB50F8" w:rsidP="00EB50F8">
      <w:pPr>
        <w:ind w:left="284"/>
        <w:rPr>
          <w:i/>
          <w:iCs/>
        </w:rPr>
      </w:pPr>
      <w:r>
        <w:rPr>
          <w:i/>
          <w:iCs/>
        </w:rPr>
        <w:t>цветки бузины (Sambuci flos);</w:t>
      </w:r>
    </w:p>
    <w:p w14:paraId="5B8F5B63" w14:textId="77777777" w:rsidR="00EB50F8" w:rsidRPr="007B6C84" w:rsidRDefault="00EB50F8" w:rsidP="00EB50F8">
      <w:pPr>
        <w:ind w:left="284"/>
        <w:rPr>
          <w:i/>
          <w:iCs/>
        </w:rPr>
      </w:pPr>
      <w:r>
        <w:rPr>
          <w:i/>
          <w:iCs/>
        </w:rPr>
        <w:t>щавель обыкновенный (Rumex herba);</w:t>
      </w:r>
    </w:p>
    <w:p w14:paraId="25B1CE77" w14:textId="77777777" w:rsidR="00EB50F8" w:rsidRPr="007B6C84" w:rsidRDefault="00EB50F8" w:rsidP="00EB50F8">
      <w:pPr>
        <w:spacing w:after="240"/>
        <w:ind w:left="284"/>
        <w:rPr>
          <w:i/>
          <w:iCs/>
        </w:rPr>
      </w:pPr>
      <w:r>
        <w:rPr>
          <w:i/>
          <w:iCs/>
        </w:rPr>
        <w:t>цветки первоцвета с чашечкой (Primulae flos cum calycibus) в соотношении 1:3:3:3:3</w:t>
      </w:r>
    </w:p>
    <w:p w14:paraId="314A7B7B" w14:textId="77777777" w:rsidR="00EB50F8" w:rsidRPr="006D1BC4" w:rsidRDefault="00EB50F8" w:rsidP="00EB50F8">
      <w:pPr>
        <w:ind w:firstLine="284"/>
      </w:pPr>
      <w:r>
        <w:t>Этаноловый экстракционный раствор 59 % (об/об); вспомогательные вещества: вода очищенная, вишневый ароматизатор, мальтитный сироп.</w:t>
      </w:r>
    </w:p>
    <w:p w14:paraId="116FE5C5" w14:textId="77777777" w:rsidR="00EB50F8" w:rsidRPr="006D1BC4" w:rsidRDefault="00EB50F8" w:rsidP="00EB50F8">
      <w:pPr>
        <w:ind w:firstLine="284"/>
      </w:pPr>
      <w:r>
        <w:t>Содержание этанола — 8 % об/об.</w:t>
      </w:r>
    </w:p>
    <w:p w14:paraId="0CCE6001" w14:textId="77777777" w:rsidR="00EB50F8" w:rsidRPr="006D1BC4" w:rsidRDefault="00EB50F8" w:rsidP="00EB50F8">
      <w:pPr>
        <w:ind w:firstLine="284"/>
      </w:pPr>
      <w:r>
        <w:t>Наименование и адрес производителя: «Бионорика СЕ», Ноймаркт, Германия.</w:t>
      </w:r>
    </w:p>
    <w:p w14:paraId="02F547D8" w14:textId="77777777" w:rsidR="00EB50F8" w:rsidRDefault="00EB50F8" w:rsidP="00EB50F8">
      <w:pPr>
        <w:ind w:firstLine="284"/>
        <w:sectPr w:rsidR="00EB50F8" w:rsidSect="00EB50F8">
          <w:type w:val="continuous"/>
          <w:pgSz w:w="12240" w:h="16834"/>
          <w:pgMar w:top="993" w:right="680" w:bottom="1135" w:left="851" w:header="567" w:footer="567" w:gutter="0"/>
          <w:cols w:num="2" w:space="347"/>
          <w:noEndnote/>
          <w:docGrid w:linePitch="360"/>
        </w:sectPr>
      </w:pPr>
      <w:r>
        <w:t>Препарат зарегистрирован в Украине и отпускается без рецепта. Поэтому состав, процесс изготовления, упаковка и маркировка препарата соответствуют принципам Надлежащей производственной практики (GMP) и действующим национальным требованиям Украины. В Украине утвержденным показанием для применения является острое и хроническое заболевание приносовых пазух.</w:t>
      </w:r>
    </w:p>
    <w:p w14:paraId="64898129" w14:textId="77777777" w:rsidR="00EB50F8" w:rsidRPr="006D1BC4" w:rsidRDefault="00EB50F8" w:rsidP="00EB50F8">
      <w:pPr>
        <w:ind w:firstLine="284"/>
      </w:pPr>
      <w:r>
        <w:lastRenderedPageBreak/>
        <w:t>Для участия в исследовании были привлечены практикующие ЛОР-врачи со стажем работы не менее 5 лет.</w:t>
      </w:r>
    </w:p>
    <w:p w14:paraId="0A2CEAA6" w14:textId="77777777" w:rsidR="00EB50F8" w:rsidRPr="006D1BC4" w:rsidRDefault="00EB50F8" w:rsidP="00EB50F8">
      <w:pPr>
        <w:pStyle w:val="Style2"/>
      </w:pPr>
      <w:r>
        <w:t>Критерии оценки эффективности</w:t>
      </w:r>
    </w:p>
    <w:p w14:paraId="7832933B" w14:textId="77777777" w:rsidR="00EB50F8" w:rsidRPr="006D1BC4" w:rsidRDefault="00EB50F8" w:rsidP="00EB50F8">
      <w:pPr>
        <w:ind w:firstLine="284"/>
      </w:pPr>
      <w:r>
        <w:t>Динамика симптомов у пациентов оценивалась четыре визита подряд в течение 10 дней (</w:t>
      </w:r>
      <w:hyperlink w:anchor="bookmark0" w:tooltip="Текущий документ">
        <w:r>
          <w:rPr>
            <w:color w:val="2B7CA5"/>
          </w:rPr>
          <w:t>таблица 1</w:t>
        </w:r>
      </w:hyperlink>
      <w:r>
        <w:t>).</w:t>
      </w:r>
    </w:p>
    <w:p w14:paraId="47472FBA" w14:textId="77777777" w:rsidR="00EB50F8" w:rsidRPr="006D1BC4" w:rsidRDefault="00EB50F8" w:rsidP="00EB50F8">
      <w:pPr>
        <w:ind w:firstLine="284"/>
      </w:pPr>
      <w:r>
        <w:t>Кроме этого, если требовало состояние пациента, проводили незапланированный визит.</w:t>
      </w:r>
    </w:p>
    <w:p w14:paraId="10FEBEA0" w14:textId="77777777" w:rsidR="00EB50F8" w:rsidRPr="006D1BC4" w:rsidRDefault="00EB50F8" w:rsidP="00EB50F8">
      <w:pPr>
        <w:ind w:firstLine="284"/>
      </w:pPr>
      <w:r>
        <w:t>Во время каждого визита врачи оценивали три основных симптома согласно шкале MSS: (от 0 до 4 баллов для каждого симптома): заложенность носа, ринорея, стекание по задней стенке носоглотки. Кроме этого, пациенты и их родители ежедневно оценивали жалобы в дневнике (ринорея, головная боль) в баллах по 10-бальной визуально-аналоговой шкале.</w:t>
      </w:r>
    </w:p>
    <w:p w14:paraId="17E3C19D" w14:textId="77777777" w:rsidR="00EB50F8" w:rsidRPr="006D1BC4" w:rsidRDefault="00EB50F8" w:rsidP="00EB50F8">
      <w:pPr>
        <w:ind w:firstLine="284"/>
      </w:pPr>
      <w:r>
        <w:t>На Визите 2 (В2) пациент и/или его родители вместе с врачом принимали решение о необходимости антибиотикотерапии на основании оценки состояния пациента, согласно установленным критериям и самооценке.</w:t>
      </w:r>
    </w:p>
    <w:p w14:paraId="17877470" w14:textId="77777777" w:rsidR="00EB50F8" w:rsidRPr="00097704" w:rsidRDefault="00EB50F8" w:rsidP="00EB50F8">
      <w:pPr>
        <w:ind w:firstLine="284"/>
        <w:rPr>
          <w:spacing w:val="-2"/>
        </w:rPr>
      </w:pPr>
      <w:r w:rsidRPr="00097704">
        <w:rPr>
          <w:i/>
          <w:spacing w:val="-2"/>
        </w:rPr>
        <w:t>Ключевые факторы эффективности:</w:t>
      </w:r>
      <w:r w:rsidRPr="00097704">
        <w:rPr>
          <w:spacing w:val="-2"/>
        </w:rPr>
        <w:t xml:space="preserve"> ослабление основных симптомов заболевания, оцененных по шкале MSS во время каждого визита в сравнении с Визитом 1, динамика самооценки симптомов острого риносинусита, частота назначения антибиотиков.</w:t>
      </w:r>
    </w:p>
    <w:p w14:paraId="428A9C58" w14:textId="77777777" w:rsidR="00EB50F8" w:rsidRPr="006D1BC4" w:rsidRDefault="00EB50F8" w:rsidP="00EB50F8">
      <w:pPr>
        <w:pStyle w:val="Style2"/>
      </w:pPr>
      <w:r>
        <w:t>Размер выборки</w:t>
      </w:r>
    </w:p>
    <w:p w14:paraId="08CDD87A" w14:textId="5E0455A7" w:rsidR="00EB50F8" w:rsidRPr="006D1BC4" w:rsidRDefault="00EB50F8" w:rsidP="00097704">
      <w:pPr>
        <w:ind w:firstLine="284"/>
      </w:pPr>
      <w:r>
        <w:t>Клиническое исследование было разработано для получения надежного описания эффективности использования экстракта пяти лекарственных растений дополнительной к стандартному лечению в сравнении только со стандартным лечением. В зависимости от полученных данных проведено несколько пробных описательных и статистических оценок, так что биометрическая оценка размера выборки не требуется.</w:t>
      </w:r>
      <w:r w:rsidR="00097704">
        <w:rPr>
          <w:lang w:val="en-US"/>
        </w:rPr>
        <w:t xml:space="preserve"> </w:t>
      </w:r>
      <w:r>
        <w:t>Однако для того, чтобы гарантировать достаточный размер выборки для анализов полученных данных, выбран размер выборки N = 300.</w:t>
      </w:r>
    </w:p>
    <w:p w14:paraId="5BF675AB" w14:textId="77777777" w:rsidR="00EB50F8" w:rsidRPr="006D1BC4" w:rsidRDefault="00EB50F8" w:rsidP="00EB50F8">
      <w:pPr>
        <w:pStyle w:val="Style2"/>
      </w:pPr>
      <w:r>
        <w:t>Рандомизация</w:t>
      </w:r>
    </w:p>
    <w:p w14:paraId="190D078D" w14:textId="77777777" w:rsidR="00EB50F8" w:rsidRPr="006D1BC4" w:rsidRDefault="00EB50F8" w:rsidP="00EB50F8">
      <w:pPr>
        <w:ind w:firstLine="284"/>
      </w:pPr>
      <w:r>
        <w:t>Клиническая часть рандомизированного исследования открытая, без процедуры ослепления. После подписания информированного согласия пациентов путем рандомизации распределяли в группы лечения согласно начальному рандомизационному списку, с использованием генератора случайных чисел [программное обеспечение StatSoft]. Для получения объективных данных статистического анализа пациентов делили на две подгруппы, в зависимости от диагноза: группа острого вирусного риносинусита и группа острого поствирусного риносинусита.</w:t>
      </w:r>
    </w:p>
    <w:p w14:paraId="23E76B50" w14:textId="77777777" w:rsidR="00EB50F8" w:rsidRPr="006D1BC4" w:rsidRDefault="00EB50F8" w:rsidP="00EB50F8">
      <w:pPr>
        <w:pStyle w:val="Style2"/>
      </w:pPr>
      <w:r>
        <w:t>Статистические методы</w:t>
      </w:r>
    </w:p>
    <w:p w14:paraId="000CB3A8" w14:textId="77777777" w:rsidR="00EB50F8" w:rsidRPr="006D1BC4" w:rsidRDefault="00EB50F8" w:rsidP="00EB50F8">
      <w:pPr>
        <w:ind w:firstLine="284"/>
      </w:pPr>
      <w:r>
        <w:t>Для анализа эффективности параметры описательной статистики рассчитывали в каждой группе (n, среднее арифметическое, медиана, стандартное отклонение, минимальное и максимальное значение для всех визитов согласно графику обследований пациента.</w:t>
      </w:r>
    </w:p>
    <w:p w14:paraId="0254F479" w14:textId="77777777" w:rsidR="00EB50F8" w:rsidRPr="006D1BC4" w:rsidRDefault="00EB50F8" w:rsidP="00EB50F8">
      <w:pPr>
        <w:ind w:firstLine="284"/>
      </w:pPr>
      <w:r>
        <w:t>Анализ динамики указанных параметров в каждой группе проводился с помощью двухфакторного дисперсионного анализа (ANOVA) по следующей схеме: фактор «Визит» является фиксированным (уровни: Визит 1...визит n); фактор «Пациент» является рандомным.</w:t>
      </w:r>
    </w:p>
    <w:p w14:paraId="10338188" w14:textId="77777777" w:rsidR="00EB50F8" w:rsidRPr="006D1BC4" w:rsidRDefault="00EB50F8" w:rsidP="00EB50F8">
      <w:pPr>
        <w:ind w:firstLine="284"/>
      </w:pPr>
      <w:r>
        <w:t>Результаты последующих визитов сравнивали с данными Визита 1 с помощью анализа контрастов, используя простые контрасты.</w:t>
      </w:r>
    </w:p>
    <w:p w14:paraId="22FCE8B0" w14:textId="77777777" w:rsidR="00EB50F8" w:rsidRPr="006D1BC4" w:rsidRDefault="00EB50F8" w:rsidP="00EB50F8">
      <w:pPr>
        <w:ind w:firstLine="284"/>
      </w:pPr>
      <w:r>
        <w:t>Сравнение испытуемых параметров между группами в динамике проводилось с помощью разницы dTi = (TВизит n –TВизит 1) оцениваемых параметров, с использованием критерия Манна — Уитни.</w:t>
      </w:r>
    </w:p>
    <w:p w14:paraId="5B7764A6" w14:textId="77777777" w:rsidR="00EB50F8" w:rsidRPr="00D44157" w:rsidRDefault="00EB50F8" w:rsidP="00EB50F8">
      <w:pPr>
        <w:ind w:firstLine="284"/>
        <w:rPr>
          <w:spacing w:val="-2"/>
        </w:rPr>
      </w:pPr>
      <w:r w:rsidRPr="00D44157">
        <w:rPr>
          <w:spacing w:val="-2"/>
        </w:rPr>
        <w:t>Уровень значимости критерия Шапиро — Уилка был принят равным 0,01, а для остальных критериев он был принят равным 0,05.</w:t>
      </w:r>
    </w:p>
    <w:p w14:paraId="0E5D0B3A" w14:textId="77777777" w:rsidR="00EB50F8" w:rsidRPr="006D1BC4" w:rsidRDefault="00EB50F8" w:rsidP="00EB50F8">
      <w:pPr>
        <w:ind w:firstLine="284"/>
      </w:pPr>
      <w:r>
        <w:t>Анализ проводили с помощью программных средств IBM SPSS 22.0.</w:t>
      </w:r>
    </w:p>
    <w:p w14:paraId="22845829" w14:textId="77777777" w:rsidR="00EB50F8" w:rsidRPr="006D1BC4" w:rsidRDefault="00EB50F8" w:rsidP="00EB50F8">
      <w:pPr>
        <w:pStyle w:val="Style1"/>
      </w:pPr>
      <w:r>
        <w:t>Результаты</w:t>
      </w:r>
    </w:p>
    <w:p w14:paraId="4A36D730" w14:textId="77777777" w:rsidR="00EB50F8" w:rsidRPr="006D1BC4" w:rsidRDefault="00EB50F8" w:rsidP="00EB50F8">
      <w:pPr>
        <w:pStyle w:val="Style2"/>
      </w:pPr>
      <w:r>
        <w:t>Выборка исследования</w:t>
      </w:r>
    </w:p>
    <w:p w14:paraId="34EA326A" w14:textId="77777777" w:rsidR="00EB50F8" w:rsidRPr="006D1BC4" w:rsidRDefault="00EB50F8" w:rsidP="00EB50F8">
      <w:pPr>
        <w:ind w:firstLine="284"/>
      </w:pPr>
      <w:r>
        <w:t>Для исследования отобрали 304 пациентов в возрасте 6–11 лет (</w:t>
      </w:r>
      <w:hyperlink w:anchor="bookmark1" w:tooltip="Текущий документ">
        <w:r>
          <w:rPr>
            <w:color w:val="2B7CA5"/>
          </w:rPr>
          <w:t>рис. 1</w:t>
        </w:r>
      </w:hyperlink>
      <w:r>
        <w:t>).</w:t>
      </w:r>
    </w:p>
    <w:p w14:paraId="179CEE84" w14:textId="77777777" w:rsidR="00EB50F8" w:rsidRPr="006D1BC4" w:rsidRDefault="00EB50F8" w:rsidP="00EB50F8">
      <w:pPr>
        <w:ind w:firstLine="284"/>
      </w:pPr>
      <w:r>
        <w:t>Из 304 отобранных пациентов 12 (3,9 %) не включено в исследование. Причиной было несоответствие критериям включения в исследование: несоответствие по возрасту (n = 2) и нежелание пациента и/или родителей выполнять требования протокола (n = 10). Остальных 292 пациентов путем рандомизации распределили в группу вирусного риносинусита: n = 173 (основная группа, n = 97, контрольная группа n = 76) или в группу поствирусного риносинусита: n = 119 (основная группа n = 64, контрольная группа n = 55),</w:t>
      </w:r>
    </w:p>
    <w:p w14:paraId="7A7707E7" w14:textId="77777777" w:rsidR="00EB50F8" w:rsidRPr="006D1BC4" w:rsidRDefault="00EB50F8" w:rsidP="00EB50F8">
      <w:pPr>
        <w:ind w:firstLine="284"/>
      </w:pPr>
      <w:r>
        <w:t>17 (5,8 %) исключили из исследования: n = 7 из основной группы (n = 1 из группы вирусного РС и n = 6 из группы поствирусного РС) и n = 10 из контрольной группы (n = 4 из группы вирусного РС и n = 6 из группы поствирусного РС). Причиной было отклонение от протокола. Данные этих пациентов исключили из анализа.</w:t>
      </w:r>
    </w:p>
    <w:p w14:paraId="437733D6" w14:textId="77777777" w:rsidR="00EB50F8" w:rsidRPr="00D44157" w:rsidRDefault="00EB50F8" w:rsidP="00EB50F8">
      <w:pPr>
        <w:ind w:firstLine="284"/>
        <w:rPr>
          <w:spacing w:val="-2"/>
        </w:rPr>
      </w:pPr>
      <w:r w:rsidRPr="00D44157">
        <w:rPr>
          <w:spacing w:val="-2"/>
        </w:rPr>
        <w:t>Таким образом, с октября 2015 года по февраль 2016 года 275 (94,1 %) из 292 пациентов завершили участие в исследовании полностью и были проанализированы: n = 154 в основной группе (n = 96 вирусный РС и n = 58 поствирусный РС) и n = 121 в контрольной группе (n = 72 вирусный РС и n = 49 поствирусный РС).</w:t>
      </w:r>
    </w:p>
    <w:p w14:paraId="4F0C6997" w14:textId="23E228E4" w:rsidR="00EB50F8" w:rsidRPr="006D1BC4" w:rsidRDefault="00EB50F8" w:rsidP="00EB50F8">
      <w:pPr>
        <w:pStyle w:val="Style2"/>
      </w:pPr>
      <w:r>
        <w:t>Исход заболевания и интерпретация</w:t>
      </w:r>
    </w:p>
    <w:p w14:paraId="2A3B9F52" w14:textId="77777777" w:rsidR="00EB50F8" w:rsidRPr="006D1BC4" w:rsidRDefault="00EB50F8" w:rsidP="00EB50F8">
      <w:pPr>
        <w:ind w:firstLine="284"/>
      </w:pPr>
      <w:r>
        <w:t xml:space="preserve">Обычными объективными клиническими симптомами вирусного и поствирусного риносинусита являются выделения из носа (ринорея или стекание по задней стенке носоглотки), заложенность носа/назальная обструкция, связанная с отеком слизистой оболочки. В </w:t>
      </w:r>
      <w:hyperlink w:anchor="bookmark10" w:tooltip="Текущий документ">
        <w:r>
          <w:rPr>
            <w:color w:val="2B7CA5"/>
          </w:rPr>
          <w:t>таблице 2</w:t>
        </w:r>
      </w:hyperlink>
      <w:r>
        <w:t xml:space="preserve"> представлена выраженность основных симптомов в баллах, оцениваемых врачом по 4-бальной шкале у пациентов с вирусным риносинуситом. Когда врач оценивал симптом выделения из носа (ринорею), в обеих группах были обнаружены сравнимые параметры выраженности во время визита В1: 3,35 балла в основной группе и 3,34 балла в контрольной группе. В течение лечения на визите В2 регистрировали регрессию ринореи у пациентов обеих групп: с 3,35 до 1,89 балла в основной и с 3,34 до 2,46 в контрольной. Во время визита В3 отмечалась дальнейшая регрессия ринореи у пациентов обеих групп: 0,32 балла в основной группе и 0,49 балла в контрольной группе. На визите В4 выраженность ринореи составляла 0,04 балла в основной группе и 0,11 балла в контрольной группе. Сравнение регрессии симптомов ринореи между группами показало значимые различия на визите В2 (p &lt; 0,05) и незначимые различия между группами на визитах В1, В3 та В4 (p &gt; 0,05).</w:t>
      </w:r>
    </w:p>
    <w:p w14:paraId="1DE568B7" w14:textId="10DAC1A2" w:rsidR="00D44157" w:rsidRDefault="00EB50F8" w:rsidP="00EB50F8">
      <w:pPr>
        <w:ind w:firstLine="284"/>
        <w:sectPr w:rsidR="00D44157" w:rsidSect="00EB50F8">
          <w:pgSz w:w="12240" w:h="16834"/>
          <w:pgMar w:top="993" w:right="680" w:bottom="1135" w:left="851" w:header="567" w:footer="567" w:gutter="0"/>
          <w:cols w:num="2" w:space="347"/>
          <w:noEndnote/>
          <w:docGrid w:linePitch="360"/>
        </w:sectPr>
      </w:pPr>
      <w:r>
        <w:t>Когда врач оценивал симптом заложенности носа у пациентов с вирусным РС, в обеих группах были обнаружены сравнимые параметры выраженности во время визита В1: 3,18 балла в основной группе и 2,96 балла в контрольной группе (</w:t>
      </w:r>
      <w:hyperlink w:anchor="bookmark10" w:tooltip="Текущий документ">
        <w:r>
          <w:rPr>
            <w:color w:val="2B7CA5"/>
          </w:rPr>
          <w:t>таблица 2</w:t>
        </w:r>
      </w:hyperlink>
      <w:r w:rsidR="00097704">
        <w:t>). В </w:t>
      </w:r>
      <w:r>
        <w:t>течение лечения на визите В2 регистрировали регрессию заложенности носа у пациентов обеих групп: с 3,18 до 1,15 балла в основной и с 2,96 до 1,46 в контрольной. Во время визита В3 отмечалась дальнейшая регрессия заложенности носа у пациентов обеих групп: 0,20 балла в основной группе и 0,29 балла в контрольной группе. На визите В4 выраженность заложенности носа составляла 0,05 балла в основной группе и 0,08 балла в контрольной группе. Показаны значимые различия на визите В2 (p &lt; 0,05) и незначимые различия между группами на визите В1, В3 и В4 (p &gt; 0,05).</w:t>
      </w:r>
    </w:p>
    <w:p w14:paraId="2F366E1A" w14:textId="5F1C2BAF" w:rsidR="00D44157" w:rsidRDefault="00D44157" w:rsidP="00EB50F8">
      <w:pPr>
        <w:ind w:firstLine="284"/>
      </w:pPr>
      <w:r>
        <w:rPr>
          <w:noProof/>
          <w:color w:val="231F20"/>
          <w:lang w:eastAsia="ru-RU" w:bidi="ar-SA"/>
        </w:rPr>
        <w:lastRenderedPageBreak/>
        <w:drawing>
          <wp:inline distT="0" distB="0" distL="0" distR="0" wp14:anchorId="549B428B" wp14:editId="2ADF4C04">
            <wp:extent cx="6346209" cy="6357909"/>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_1.w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65851" cy="6377587"/>
                    </a:xfrm>
                    <a:prstGeom prst="rect">
                      <a:avLst/>
                    </a:prstGeom>
                  </pic:spPr>
                </pic:pic>
              </a:graphicData>
            </a:graphic>
          </wp:inline>
        </w:drawing>
      </w:r>
    </w:p>
    <w:p w14:paraId="5537DC93" w14:textId="77777777" w:rsidR="00D44157" w:rsidRPr="006D1BC4" w:rsidRDefault="00D44157" w:rsidP="00D44157">
      <w:pPr>
        <w:spacing w:after="120"/>
        <w:jc w:val="center"/>
      </w:pPr>
      <w:r>
        <w:rPr>
          <w:b/>
          <w:bCs/>
        </w:rPr>
        <w:t>Рис. 1</w:t>
      </w:r>
      <w:r>
        <w:t xml:space="preserve"> Пациенты включенные в скрининг, рандомизацию и исключенные из исследования.</w:t>
      </w:r>
    </w:p>
    <w:p w14:paraId="53BAE2EC" w14:textId="77777777" w:rsidR="00D44157" w:rsidRDefault="00D44157" w:rsidP="00EB50F8">
      <w:pPr>
        <w:ind w:firstLine="284"/>
        <w:sectPr w:rsidR="00D44157" w:rsidSect="00D44157">
          <w:type w:val="continuous"/>
          <w:pgSz w:w="12240" w:h="16834"/>
          <w:pgMar w:top="993" w:right="680" w:bottom="1135" w:left="851" w:header="567" w:footer="567" w:gutter="0"/>
          <w:cols w:space="347"/>
          <w:noEndnote/>
          <w:docGrid w:linePitch="360"/>
        </w:sectPr>
      </w:pPr>
    </w:p>
    <w:p w14:paraId="11AA5184" w14:textId="77777777" w:rsidR="00D44157" w:rsidRPr="006D1BC4" w:rsidRDefault="00D44157" w:rsidP="00D44157">
      <w:pPr>
        <w:spacing w:before="360"/>
        <w:rPr>
          <w:b/>
          <w:bCs/>
        </w:rPr>
      </w:pPr>
      <w:bookmarkStart w:id="1" w:name="bookmark10"/>
      <w:r>
        <w:rPr>
          <w:b/>
          <w:bCs/>
        </w:rPr>
        <w:t>Таблица 2</w:t>
      </w:r>
      <w:bookmarkEnd w:id="1"/>
    </w:p>
    <w:p w14:paraId="4E05FADC" w14:textId="77777777" w:rsidR="00D44157" w:rsidRPr="006D1BC4" w:rsidRDefault="00D44157" w:rsidP="00D44157">
      <w:r>
        <w:t>Выраженность основных симптомов в баллах в процессе лечения, оценивающихся врачом у пациентов с вирусным РС.</w:t>
      </w:r>
    </w:p>
    <w:tbl>
      <w:tblPr>
        <w:tblOverlap w:val="never"/>
        <w:tblW w:w="0" w:type="auto"/>
        <w:tblLayout w:type="fixed"/>
        <w:tblCellMar>
          <w:left w:w="10" w:type="dxa"/>
          <w:right w:w="10" w:type="dxa"/>
        </w:tblCellMar>
        <w:tblLook w:val="04A0" w:firstRow="1" w:lastRow="0" w:firstColumn="1" w:lastColumn="0" w:noHBand="0" w:noVBand="1"/>
      </w:tblPr>
      <w:tblGrid>
        <w:gridCol w:w="1523"/>
        <w:gridCol w:w="1032"/>
        <w:gridCol w:w="688"/>
        <w:gridCol w:w="1587"/>
        <w:gridCol w:w="638"/>
        <w:gridCol w:w="1623"/>
        <w:gridCol w:w="2050"/>
        <w:gridCol w:w="1568"/>
      </w:tblGrid>
      <w:tr w:rsidR="00D44157" w:rsidRPr="006D1BC4" w14:paraId="0FCEFBEC" w14:textId="77777777" w:rsidTr="005F3628">
        <w:trPr>
          <w:cantSplit/>
          <w:trHeight w:val="336"/>
        </w:trPr>
        <w:tc>
          <w:tcPr>
            <w:tcW w:w="1523" w:type="dxa"/>
            <w:vMerge w:val="restart"/>
            <w:tcBorders>
              <w:top w:val="single" w:sz="4" w:space="0" w:color="auto"/>
            </w:tcBorders>
            <w:shd w:val="clear" w:color="auto" w:fill="FFFFFF"/>
            <w:tcMar>
              <w:left w:w="85" w:type="dxa"/>
              <w:right w:w="85" w:type="dxa"/>
            </w:tcMar>
          </w:tcPr>
          <w:p w14:paraId="5675B5D1" w14:textId="77777777" w:rsidR="00D44157" w:rsidRPr="006D1BC4" w:rsidRDefault="00D44157" w:rsidP="005F3628">
            <w:pPr>
              <w:spacing w:before="60"/>
              <w:jc w:val="left"/>
              <w:rPr>
                <w:sz w:val="16"/>
                <w:szCs w:val="16"/>
              </w:rPr>
            </w:pPr>
            <w:r>
              <w:rPr>
                <w:sz w:val="16"/>
                <w:szCs w:val="16"/>
              </w:rPr>
              <w:t>Параметр</w:t>
            </w:r>
          </w:p>
        </w:tc>
        <w:tc>
          <w:tcPr>
            <w:tcW w:w="1032" w:type="dxa"/>
            <w:vMerge w:val="restart"/>
            <w:tcBorders>
              <w:top w:val="single" w:sz="4" w:space="0" w:color="auto"/>
            </w:tcBorders>
            <w:shd w:val="clear" w:color="auto" w:fill="FFFFFF"/>
            <w:tcMar>
              <w:left w:w="85" w:type="dxa"/>
              <w:right w:w="85" w:type="dxa"/>
            </w:tcMar>
          </w:tcPr>
          <w:p w14:paraId="7CCD0257" w14:textId="77777777" w:rsidR="00D44157" w:rsidRPr="006D1BC4" w:rsidRDefault="00D44157" w:rsidP="005F3628">
            <w:pPr>
              <w:spacing w:before="60"/>
              <w:jc w:val="left"/>
              <w:rPr>
                <w:sz w:val="16"/>
                <w:szCs w:val="16"/>
              </w:rPr>
            </w:pPr>
            <w:r>
              <w:rPr>
                <w:sz w:val="16"/>
                <w:szCs w:val="16"/>
              </w:rPr>
              <w:t>Визит (В)</w:t>
            </w:r>
          </w:p>
        </w:tc>
        <w:tc>
          <w:tcPr>
            <w:tcW w:w="2275" w:type="dxa"/>
            <w:gridSpan w:val="2"/>
            <w:tcBorders>
              <w:top w:val="single" w:sz="4" w:space="0" w:color="auto"/>
            </w:tcBorders>
            <w:shd w:val="clear" w:color="auto" w:fill="FFFFFF"/>
            <w:tcMar>
              <w:left w:w="85" w:type="dxa"/>
              <w:right w:w="85" w:type="dxa"/>
            </w:tcMar>
            <w:vAlign w:val="center"/>
          </w:tcPr>
          <w:p w14:paraId="5FDFC7A1" w14:textId="77777777" w:rsidR="00D44157" w:rsidRPr="006D1BC4" w:rsidRDefault="00D44157" w:rsidP="005F3628">
            <w:pPr>
              <w:rPr>
                <w:sz w:val="16"/>
                <w:szCs w:val="16"/>
              </w:rPr>
            </w:pPr>
            <w:r>
              <w:rPr>
                <w:sz w:val="16"/>
                <w:szCs w:val="16"/>
              </w:rPr>
              <w:t>Основная группа</w:t>
            </w:r>
          </w:p>
        </w:tc>
        <w:tc>
          <w:tcPr>
            <w:tcW w:w="2261" w:type="dxa"/>
            <w:gridSpan w:val="2"/>
            <w:tcBorders>
              <w:top w:val="single" w:sz="4" w:space="0" w:color="auto"/>
            </w:tcBorders>
            <w:shd w:val="clear" w:color="auto" w:fill="FFFFFF"/>
            <w:tcMar>
              <w:left w:w="85" w:type="dxa"/>
              <w:right w:w="85" w:type="dxa"/>
            </w:tcMar>
            <w:vAlign w:val="center"/>
          </w:tcPr>
          <w:p w14:paraId="26FA476D" w14:textId="77777777" w:rsidR="00D44157" w:rsidRPr="006D1BC4" w:rsidRDefault="00D44157" w:rsidP="005F3628">
            <w:pPr>
              <w:rPr>
                <w:sz w:val="16"/>
                <w:szCs w:val="16"/>
              </w:rPr>
            </w:pPr>
            <w:r>
              <w:rPr>
                <w:sz w:val="16"/>
                <w:szCs w:val="16"/>
              </w:rPr>
              <w:t>Контрольная группа</w:t>
            </w:r>
          </w:p>
        </w:tc>
        <w:tc>
          <w:tcPr>
            <w:tcW w:w="2050" w:type="dxa"/>
            <w:vMerge w:val="restart"/>
            <w:tcBorders>
              <w:top w:val="single" w:sz="4" w:space="0" w:color="auto"/>
            </w:tcBorders>
            <w:shd w:val="clear" w:color="auto" w:fill="FFFFFF"/>
            <w:tcMar>
              <w:left w:w="85" w:type="dxa"/>
              <w:right w:w="85" w:type="dxa"/>
            </w:tcMar>
          </w:tcPr>
          <w:p w14:paraId="6A92F590" w14:textId="77777777" w:rsidR="00D44157" w:rsidRPr="006D1BC4" w:rsidRDefault="00D44157" w:rsidP="005F3628">
            <w:pPr>
              <w:spacing w:before="60"/>
              <w:jc w:val="left"/>
              <w:rPr>
                <w:sz w:val="16"/>
                <w:szCs w:val="16"/>
              </w:rPr>
            </w:pPr>
            <w:r>
              <w:rPr>
                <w:sz w:val="16"/>
                <w:szCs w:val="16"/>
              </w:rPr>
              <w:t>p-значение (двухстороннее)/T1-T4</w:t>
            </w:r>
          </w:p>
        </w:tc>
        <w:tc>
          <w:tcPr>
            <w:tcW w:w="1568" w:type="dxa"/>
            <w:vMerge w:val="restart"/>
            <w:tcBorders>
              <w:top w:val="single" w:sz="4" w:space="0" w:color="auto"/>
            </w:tcBorders>
            <w:shd w:val="clear" w:color="auto" w:fill="FFFFFF"/>
            <w:tcMar>
              <w:left w:w="85" w:type="dxa"/>
              <w:right w:w="85" w:type="dxa"/>
            </w:tcMar>
          </w:tcPr>
          <w:p w14:paraId="22E394C5" w14:textId="77777777" w:rsidR="00D44157" w:rsidRPr="006D1BC4" w:rsidRDefault="00D44157" w:rsidP="005F3628">
            <w:pPr>
              <w:spacing w:before="60"/>
              <w:jc w:val="left"/>
              <w:rPr>
                <w:sz w:val="16"/>
                <w:szCs w:val="16"/>
              </w:rPr>
            </w:pPr>
            <w:r>
              <w:rPr>
                <w:sz w:val="16"/>
                <w:szCs w:val="16"/>
              </w:rPr>
              <w:t>Достоверные различия</w:t>
            </w:r>
            <w:r>
              <w:rPr>
                <w:sz w:val="16"/>
                <w:szCs w:val="16"/>
                <w:vertAlign w:val="superscript"/>
              </w:rPr>
              <w:t>a</w:t>
            </w:r>
          </w:p>
        </w:tc>
      </w:tr>
      <w:tr w:rsidR="00D44157" w:rsidRPr="006D1BC4" w14:paraId="4D466FEA" w14:textId="77777777" w:rsidTr="005F3628">
        <w:trPr>
          <w:cantSplit/>
          <w:trHeight w:val="331"/>
        </w:trPr>
        <w:tc>
          <w:tcPr>
            <w:tcW w:w="1523" w:type="dxa"/>
            <w:vMerge/>
            <w:shd w:val="clear" w:color="auto" w:fill="FFFFFF"/>
            <w:tcMar>
              <w:left w:w="85" w:type="dxa"/>
              <w:right w:w="85" w:type="dxa"/>
            </w:tcMar>
            <w:vAlign w:val="center"/>
          </w:tcPr>
          <w:p w14:paraId="12A3429C" w14:textId="77777777" w:rsidR="00D44157" w:rsidRPr="006D1BC4" w:rsidRDefault="00D44157" w:rsidP="005F3628">
            <w:pPr>
              <w:rPr>
                <w:sz w:val="16"/>
                <w:szCs w:val="16"/>
              </w:rPr>
            </w:pPr>
          </w:p>
        </w:tc>
        <w:tc>
          <w:tcPr>
            <w:tcW w:w="1032" w:type="dxa"/>
            <w:vMerge/>
            <w:shd w:val="clear" w:color="auto" w:fill="FFFFFF"/>
            <w:tcMar>
              <w:left w:w="85" w:type="dxa"/>
              <w:right w:w="85" w:type="dxa"/>
            </w:tcMar>
            <w:vAlign w:val="center"/>
          </w:tcPr>
          <w:p w14:paraId="1C3F2527" w14:textId="77777777" w:rsidR="00D44157" w:rsidRPr="006D1BC4" w:rsidRDefault="00D44157" w:rsidP="005F3628">
            <w:pPr>
              <w:rPr>
                <w:sz w:val="16"/>
                <w:szCs w:val="16"/>
              </w:rPr>
            </w:pPr>
          </w:p>
        </w:tc>
        <w:tc>
          <w:tcPr>
            <w:tcW w:w="688" w:type="dxa"/>
            <w:tcBorders>
              <w:top w:val="single" w:sz="4" w:space="0" w:color="auto"/>
            </w:tcBorders>
            <w:shd w:val="clear" w:color="auto" w:fill="FFFFFF"/>
            <w:tcMar>
              <w:left w:w="85" w:type="dxa"/>
              <w:right w:w="85" w:type="dxa"/>
            </w:tcMar>
            <w:vAlign w:val="center"/>
          </w:tcPr>
          <w:p w14:paraId="3D8111C6" w14:textId="77777777" w:rsidR="00D44157" w:rsidRPr="006D1BC4" w:rsidRDefault="00D44157" w:rsidP="005F3628">
            <w:pPr>
              <w:rPr>
                <w:sz w:val="16"/>
                <w:szCs w:val="16"/>
              </w:rPr>
            </w:pPr>
            <w:r>
              <w:rPr>
                <w:sz w:val="16"/>
                <w:szCs w:val="16"/>
              </w:rPr>
              <w:t>n</w:t>
            </w:r>
          </w:p>
        </w:tc>
        <w:tc>
          <w:tcPr>
            <w:tcW w:w="1587" w:type="dxa"/>
            <w:tcBorders>
              <w:top w:val="single" w:sz="4" w:space="0" w:color="auto"/>
            </w:tcBorders>
            <w:shd w:val="clear" w:color="auto" w:fill="FFFFFF"/>
            <w:tcMar>
              <w:left w:w="85" w:type="dxa"/>
              <w:right w:w="85" w:type="dxa"/>
            </w:tcMar>
            <w:vAlign w:val="center"/>
          </w:tcPr>
          <w:p w14:paraId="1B93B325" w14:textId="77777777" w:rsidR="00D44157" w:rsidRPr="006D1BC4" w:rsidRDefault="00D44157" w:rsidP="005F3628">
            <w:pPr>
              <w:rPr>
                <w:sz w:val="16"/>
                <w:szCs w:val="16"/>
              </w:rPr>
            </w:pPr>
            <w:r>
              <w:rPr>
                <w:sz w:val="16"/>
                <w:szCs w:val="16"/>
              </w:rPr>
              <w:t>Среднее арифметическое</w:t>
            </w:r>
          </w:p>
        </w:tc>
        <w:tc>
          <w:tcPr>
            <w:tcW w:w="638" w:type="dxa"/>
            <w:tcBorders>
              <w:top w:val="single" w:sz="4" w:space="0" w:color="auto"/>
            </w:tcBorders>
            <w:shd w:val="clear" w:color="auto" w:fill="FFFFFF"/>
            <w:tcMar>
              <w:left w:w="85" w:type="dxa"/>
              <w:right w:w="85" w:type="dxa"/>
            </w:tcMar>
            <w:vAlign w:val="center"/>
          </w:tcPr>
          <w:p w14:paraId="0C4C6098" w14:textId="77777777" w:rsidR="00D44157" w:rsidRPr="006D1BC4" w:rsidRDefault="00D44157" w:rsidP="005F3628">
            <w:pPr>
              <w:rPr>
                <w:sz w:val="16"/>
                <w:szCs w:val="16"/>
              </w:rPr>
            </w:pPr>
            <w:r>
              <w:rPr>
                <w:sz w:val="16"/>
                <w:szCs w:val="16"/>
              </w:rPr>
              <w:t>n</w:t>
            </w:r>
          </w:p>
        </w:tc>
        <w:tc>
          <w:tcPr>
            <w:tcW w:w="1623" w:type="dxa"/>
            <w:tcBorders>
              <w:top w:val="single" w:sz="4" w:space="0" w:color="auto"/>
            </w:tcBorders>
            <w:shd w:val="clear" w:color="auto" w:fill="FFFFFF"/>
            <w:tcMar>
              <w:left w:w="85" w:type="dxa"/>
              <w:right w:w="85" w:type="dxa"/>
            </w:tcMar>
            <w:vAlign w:val="center"/>
          </w:tcPr>
          <w:p w14:paraId="69226C00" w14:textId="77777777" w:rsidR="00D44157" w:rsidRPr="006D1BC4" w:rsidRDefault="00D44157" w:rsidP="005F3628">
            <w:pPr>
              <w:rPr>
                <w:sz w:val="16"/>
                <w:szCs w:val="16"/>
              </w:rPr>
            </w:pPr>
            <w:r>
              <w:rPr>
                <w:sz w:val="16"/>
                <w:szCs w:val="16"/>
              </w:rPr>
              <w:t>Среднее арифметическое</w:t>
            </w:r>
          </w:p>
        </w:tc>
        <w:tc>
          <w:tcPr>
            <w:tcW w:w="2050" w:type="dxa"/>
            <w:vMerge/>
            <w:shd w:val="clear" w:color="auto" w:fill="FFFFFF"/>
            <w:tcMar>
              <w:left w:w="85" w:type="dxa"/>
              <w:right w:w="85" w:type="dxa"/>
            </w:tcMar>
            <w:vAlign w:val="center"/>
          </w:tcPr>
          <w:p w14:paraId="68963276" w14:textId="77777777" w:rsidR="00D44157" w:rsidRPr="006D1BC4" w:rsidRDefault="00D44157" w:rsidP="005F3628">
            <w:pPr>
              <w:rPr>
                <w:sz w:val="16"/>
                <w:szCs w:val="16"/>
              </w:rPr>
            </w:pPr>
          </w:p>
        </w:tc>
        <w:tc>
          <w:tcPr>
            <w:tcW w:w="1568" w:type="dxa"/>
            <w:vMerge/>
            <w:shd w:val="clear" w:color="auto" w:fill="FFFFFF"/>
            <w:tcMar>
              <w:left w:w="85" w:type="dxa"/>
              <w:right w:w="85" w:type="dxa"/>
            </w:tcMar>
            <w:vAlign w:val="center"/>
          </w:tcPr>
          <w:p w14:paraId="651AB95F" w14:textId="77777777" w:rsidR="00D44157" w:rsidRPr="006D1BC4" w:rsidRDefault="00D44157" w:rsidP="005F3628">
            <w:pPr>
              <w:rPr>
                <w:sz w:val="16"/>
                <w:szCs w:val="16"/>
              </w:rPr>
            </w:pPr>
          </w:p>
        </w:tc>
      </w:tr>
      <w:tr w:rsidR="00D44157" w:rsidRPr="006D1BC4" w14:paraId="4B8A579F" w14:textId="77777777" w:rsidTr="005F3628">
        <w:trPr>
          <w:cantSplit/>
          <w:trHeight w:val="254"/>
        </w:trPr>
        <w:tc>
          <w:tcPr>
            <w:tcW w:w="1523" w:type="dxa"/>
            <w:vMerge w:val="restart"/>
            <w:tcBorders>
              <w:top w:val="single" w:sz="4" w:space="0" w:color="auto"/>
            </w:tcBorders>
            <w:shd w:val="clear" w:color="auto" w:fill="FFFFFF"/>
            <w:tcMar>
              <w:left w:w="85" w:type="dxa"/>
              <w:right w:w="85" w:type="dxa"/>
            </w:tcMar>
          </w:tcPr>
          <w:p w14:paraId="22404E42" w14:textId="77777777" w:rsidR="00D44157" w:rsidRPr="006D1BC4" w:rsidRDefault="00D44157" w:rsidP="005F3628">
            <w:pPr>
              <w:jc w:val="left"/>
              <w:rPr>
                <w:sz w:val="16"/>
                <w:szCs w:val="16"/>
              </w:rPr>
            </w:pPr>
            <w:r>
              <w:rPr>
                <w:sz w:val="16"/>
                <w:szCs w:val="16"/>
              </w:rPr>
              <w:t>Ринорея</w:t>
            </w:r>
          </w:p>
        </w:tc>
        <w:tc>
          <w:tcPr>
            <w:tcW w:w="1032" w:type="dxa"/>
            <w:tcBorders>
              <w:top w:val="single" w:sz="4" w:space="0" w:color="auto"/>
            </w:tcBorders>
            <w:shd w:val="clear" w:color="auto" w:fill="FFFFFF"/>
            <w:tcMar>
              <w:left w:w="85" w:type="dxa"/>
              <w:right w:w="85" w:type="dxa"/>
            </w:tcMar>
            <w:vAlign w:val="center"/>
          </w:tcPr>
          <w:p w14:paraId="1807032F" w14:textId="77777777" w:rsidR="00D44157" w:rsidRPr="006D1BC4" w:rsidRDefault="00D44157" w:rsidP="005F3628">
            <w:pPr>
              <w:rPr>
                <w:sz w:val="16"/>
                <w:szCs w:val="16"/>
              </w:rPr>
            </w:pPr>
            <w:r>
              <w:rPr>
                <w:sz w:val="16"/>
                <w:szCs w:val="16"/>
              </w:rPr>
              <w:t>В1</w:t>
            </w:r>
          </w:p>
        </w:tc>
        <w:tc>
          <w:tcPr>
            <w:tcW w:w="688" w:type="dxa"/>
            <w:tcBorders>
              <w:top w:val="single" w:sz="4" w:space="0" w:color="auto"/>
            </w:tcBorders>
            <w:shd w:val="clear" w:color="auto" w:fill="FFFFFF"/>
            <w:tcMar>
              <w:left w:w="85" w:type="dxa"/>
              <w:right w:w="85" w:type="dxa"/>
            </w:tcMar>
            <w:vAlign w:val="center"/>
          </w:tcPr>
          <w:p w14:paraId="6011E74E" w14:textId="77777777" w:rsidR="00D44157" w:rsidRPr="006D1BC4" w:rsidRDefault="00D44157" w:rsidP="005F3628">
            <w:pPr>
              <w:rPr>
                <w:sz w:val="16"/>
                <w:szCs w:val="16"/>
              </w:rPr>
            </w:pPr>
            <w:r>
              <w:rPr>
                <w:sz w:val="16"/>
                <w:szCs w:val="16"/>
              </w:rPr>
              <w:t>97</w:t>
            </w:r>
          </w:p>
        </w:tc>
        <w:tc>
          <w:tcPr>
            <w:tcW w:w="1587" w:type="dxa"/>
            <w:tcBorders>
              <w:top w:val="single" w:sz="4" w:space="0" w:color="auto"/>
            </w:tcBorders>
            <w:shd w:val="clear" w:color="auto" w:fill="FFFFFF"/>
            <w:tcMar>
              <w:left w:w="85" w:type="dxa"/>
              <w:right w:w="85" w:type="dxa"/>
            </w:tcMar>
            <w:vAlign w:val="center"/>
          </w:tcPr>
          <w:p w14:paraId="29E3953F" w14:textId="77777777" w:rsidR="00D44157" w:rsidRPr="006D1BC4" w:rsidRDefault="00D44157" w:rsidP="005F3628">
            <w:pPr>
              <w:rPr>
                <w:sz w:val="16"/>
                <w:szCs w:val="16"/>
              </w:rPr>
            </w:pPr>
            <w:r>
              <w:rPr>
                <w:sz w:val="16"/>
                <w:szCs w:val="16"/>
              </w:rPr>
              <w:t>3,35</w:t>
            </w:r>
          </w:p>
        </w:tc>
        <w:tc>
          <w:tcPr>
            <w:tcW w:w="638" w:type="dxa"/>
            <w:tcBorders>
              <w:top w:val="single" w:sz="4" w:space="0" w:color="auto"/>
            </w:tcBorders>
            <w:shd w:val="clear" w:color="auto" w:fill="FFFFFF"/>
            <w:tcMar>
              <w:left w:w="85" w:type="dxa"/>
              <w:right w:w="85" w:type="dxa"/>
            </w:tcMar>
            <w:vAlign w:val="center"/>
          </w:tcPr>
          <w:p w14:paraId="1AE159AC" w14:textId="77777777" w:rsidR="00D44157" w:rsidRPr="006D1BC4" w:rsidRDefault="00D44157" w:rsidP="005F3628">
            <w:pPr>
              <w:rPr>
                <w:sz w:val="16"/>
                <w:szCs w:val="16"/>
              </w:rPr>
            </w:pPr>
            <w:r>
              <w:rPr>
                <w:sz w:val="16"/>
                <w:szCs w:val="16"/>
              </w:rPr>
              <w:t>76</w:t>
            </w:r>
          </w:p>
        </w:tc>
        <w:tc>
          <w:tcPr>
            <w:tcW w:w="1623" w:type="dxa"/>
            <w:tcBorders>
              <w:top w:val="single" w:sz="4" w:space="0" w:color="auto"/>
            </w:tcBorders>
            <w:shd w:val="clear" w:color="auto" w:fill="FFFFFF"/>
            <w:tcMar>
              <w:left w:w="85" w:type="dxa"/>
              <w:right w:w="85" w:type="dxa"/>
            </w:tcMar>
            <w:vAlign w:val="center"/>
          </w:tcPr>
          <w:p w14:paraId="5239CF69" w14:textId="77777777" w:rsidR="00D44157" w:rsidRPr="006D1BC4" w:rsidRDefault="00D44157" w:rsidP="005F3628">
            <w:pPr>
              <w:rPr>
                <w:sz w:val="16"/>
                <w:szCs w:val="16"/>
              </w:rPr>
            </w:pPr>
            <w:r>
              <w:rPr>
                <w:sz w:val="16"/>
                <w:szCs w:val="16"/>
              </w:rPr>
              <w:t>3,34</w:t>
            </w:r>
          </w:p>
        </w:tc>
        <w:tc>
          <w:tcPr>
            <w:tcW w:w="2050" w:type="dxa"/>
            <w:tcBorders>
              <w:top w:val="single" w:sz="4" w:space="0" w:color="auto"/>
            </w:tcBorders>
            <w:shd w:val="clear" w:color="auto" w:fill="FFFFFF"/>
            <w:tcMar>
              <w:left w:w="85" w:type="dxa"/>
              <w:right w:w="85" w:type="dxa"/>
            </w:tcMar>
            <w:vAlign w:val="center"/>
          </w:tcPr>
          <w:p w14:paraId="0ED6C444" w14:textId="77777777" w:rsidR="00D44157" w:rsidRPr="006D1BC4" w:rsidRDefault="00D44157" w:rsidP="005F3628">
            <w:pPr>
              <w:rPr>
                <w:sz w:val="16"/>
                <w:szCs w:val="16"/>
              </w:rPr>
            </w:pPr>
            <w:r>
              <w:rPr>
                <w:sz w:val="16"/>
                <w:szCs w:val="16"/>
              </w:rPr>
              <w:t>0,981</w:t>
            </w:r>
          </w:p>
        </w:tc>
        <w:tc>
          <w:tcPr>
            <w:tcW w:w="1568" w:type="dxa"/>
            <w:tcBorders>
              <w:top w:val="single" w:sz="4" w:space="0" w:color="auto"/>
            </w:tcBorders>
            <w:shd w:val="clear" w:color="auto" w:fill="FFFFFF"/>
            <w:tcMar>
              <w:left w:w="85" w:type="dxa"/>
              <w:right w:w="85" w:type="dxa"/>
            </w:tcMar>
            <w:vAlign w:val="center"/>
          </w:tcPr>
          <w:p w14:paraId="6034255D" w14:textId="77777777" w:rsidR="00D44157" w:rsidRPr="006D1BC4" w:rsidRDefault="00D44157" w:rsidP="005F3628">
            <w:pPr>
              <w:rPr>
                <w:sz w:val="16"/>
                <w:szCs w:val="16"/>
              </w:rPr>
            </w:pPr>
            <w:r>
              <w:rPr>
                <w:sz w:val="16"/>
                <w:szCs w:val="16"/>
              </w:rPr>
              <w:t>Незначимые</w:t>
            </w:r>
          </w:p>
        </w:tc>
      </w:tr>
      <w:tr w:rsidR="00D44157" w:rsidRPr="006D1BC4" w14:paraId="759210C8" w14:textId="77777777" w:rsidTr="005F3628">
        <w:trPr>
          <w:cantSplit/>
          <w:trHeight w:val="178"/>
        </w:trPr>
        <w:tc>
          <w:tcPr>
            <w:tcW w:w="1523" w:type="dxa"/>
            <w:vMerge/>
            <w:shd w:val="clear" w:color="auto" w:fill="FFFFFF"/>
            <w:tcMar>
              <w:left w:w="85" w:type="dxa"/>
              <w:right w:w="85" w:type="dxa"/>
            </w:tcMar>
          </w:tcPr>
          <w:p w14:paraId="15504BC0" w14:textId="77777777" w:rsidR="00D44157" w:rsidRPr="006D1BC4" w:rsidRDefault="00D44157" w:rsidP="005F3628">
            <w:pPr>
              <w:jc w:val="left"/>
              <w:rPr>
                <w:sz w:val="16"/>
                <w:szCs w:val="16"/>
              </w:rPr>
            </w:pPr>
          </w:p>
        </w:tc>
        <w:tc>
          <w:tcPr>
            <w:tcW w:w="1032" w:type="dxa"/>
            <w:shd w:val="clear" w:color="auto" w:fill="FFFFFF"/>
            <w:tcMar>
              <w:left w:w="85" w:type="dxa"/>
              <w:right w:w="85" w:type="dxa"/>
            </w:tcMar>
            <w:vAlign w:val="center"/>
          </w:tcPr>
          <w:p w14:paraId="4476C82F" w14:textId="77777777" w:rsidR="00D44157" w:rsidRPr="006D1BC4" w:rsidRDefault="00D44157" w:rsidP="005F3628">
            <w:pPr>
              <w:rPr>
                <w:sz w:val="16"/>
                <w:szCs w:val="16"/>
              </w:rPr>
            </w:pPr>
            <w:r>
              <w:rPr>
                <w:sz w:val="16"/>
                <w:szCs w:val="16"/>
              </w:rPr>
              <w:t>В2</w:t>
            </w:r>
          </w:p>
        </w:tc>
        <w:tc>
          <w:tcPr>
            <w:tcW w:w="688" w:type="dxa"/>
            <w:shd w:val="clear" w:color="auto" w:fill="FFFFFF"/>
            <w:tcMar>
              <w:left w:w="85" w:type="dxa"/>
              <w:right w:w="85" w:type="dxa"/>
            </w:tcMar>
            <w:vAlign w:val="center"/>
          </w:tcPr>
          <w:p w14:paraId="1BEA9F33" w14:textId="77777777" w:rsidR="00D44157" w:rsidRPr="006D1BC4" w:rsidRDefault="00D44157" w:rsidP="005F3628">
            <w:pPr>
              <w:rPr>
                <w:sz w:val="16"/>
                <w:szCs w:val="16"/>
              </w:rPr>
            </w:pPr>
            <w:r>
              <w:rPr>
                <w:sz w:val="16"/>
                <w:szCs w:val="16"/>
              </w:rPr>
              <w:t>97</w:t>
            </w:r>
          </w:p>
        </w:tc>
        <w:tc>
          <w:tcPr>
            <w:tcW w:w="1587" w:type="dxa"/>
            <w:shd w:val="clear" w:color="auto" w:fill="FFFFFF"/>
            <w:tcMar>
              <w:left w:w="85" w:type="dxa"/>
              <w:right w:w="85" w:type="dxa"/>
            </w:tcMar>
            <w:vAlign w:val="center"/>
          </w:tcPr>
          <w:p w14:paraId="12EA1F21" w14:textId="77777777" w:rsidR="00D44157" w:rsidRPr="006D1BC4" w:rsidRDefault="00D44157" w:rsidP="005F3628">
            <w:pPr>
              <w:rPr>
                <w:sz w:val="16"/>
                <w:szCs w:val="16"/>
              </w:rPr>
            </w:pPr>
            <w:r>
              <w:rPr>
                <w:sz w:val="16"/>
                <w:szCs w:val="16"/>
              </w:rPr>
              <w:t>1,89</w:t>
            </w:r>
          </w:p>
        </w:tc>
        <w:tc>
          <w:tcPr>
            <w:tcW w:w="638" w:type="dxa"/>
            <w:shd w:val="clear" w:color="auto" w:fill="FFFFFF"/>
            <w:tcMar>
              <w:left w:w="85" w:type="dxa"/>
              <w:right w:w="85" w:type="dxa"/>
            </w:tcMar>
            <w:vAlign w:val="center"/>
          </w:tcPr>
          <w:p w14:paraId="3AB8DFEC" w14:textId="77777777" w:rsidR="00D44157" w:rsidRPr="006D1BC4" w:rsidRDefault="00D44157" w:rsidP="005F3628">
            <w:pPr>
              <w:rPr>
                <w:sz w:val="16"/>
                <w:szCs w:val="16"/>
              </w:rPr>
            </w:pPr>
            <w:r>
              <w:rPr>
                <w:sz w:val="16"/>
                <w:szCs w:val="16"/>
              </w:rPr>
              <w:t>76</w:t>
            </w:r>
          </w:p>
        </w:tc>
        <w:tc>
          <w:tcPr>
            <w:tcW w:w="1623" w:type="dxa"/>
            <w:shd w:val="clear" w:color="auto" w:fill="FFFFFF"/>
            <w:tcMar>
              <w:left w:w="85" w:type="dxa"/>
              <w:right w:w="85" w:type="dxa"/>
            </w:tcMar>
            <w:vAlign w:val="center"/>
          </w:tcPr>
          <w:p w14:paraId="61733DA5" w14:textId="77777777" w:rsidR="00D44157" w:rsidRPr="006D1BC4" w:rsidRDefault="00D44157" w:rsidP="005F3628">
            <w:pPr>
              <w:rPr>
                <w:sz w:val="16"/>
                <w:szCs w:val="16"/>
              </w:rPr>
            </w:pPr>
            <w:r>
              <w:rPr>
                <w:sz w:val="16"/>
                <w:szCs w:val="16"/>
              </w:rPr>
              <w:t>2,46</w:t>
            </w:r>
          </w:p>
        </w:tc>
        <w:tc>
          <w:tcPr>
            <w:tcW w:w="2050" w:type="dxa"/>
            <w:shd w:val="clear" w:color="auto" w:fill="FFFFFF"/>
            <w:tcMar>
              <w:left w:w="85" w:type="dxa"/>
              <w:right w:w="85" w:type="dxa"/>
            </w:tcMar>
            <w:vAlign w:val="center"/>
          </w:tcPr>
          <w:p w14:paraId="1D10C5C6" w14:textId="77777777" w:rsidR="00D44157" w:rsidRPr="006D1BC4" w:rsidRDefault="00D44157" w:rsidP="005F3628">
            <w:pPr>
              <w:rPr>
                <w:sz w:val="16"/>
                <w:szCs w:val="16"/>
              </w:rPr>
            </w:pPr>
            <w:r>
              <w:rPr>
                <w:sz w:val="16"/>
                <w:szCs w:val="16"/>
              </w:rPr>
              <w:t>0,000</w:t>
            </w:r>
          </w:p>
        </w:tc>
        <w:tc>
          <w:tcPr>
            <w:tcW w:w="1568" w:type="dxa"/>
            <w:shd w:val="clear" w:color="auto" w:fill="FFFFFF"/>
            <w:tcMar>
              <w:left w:w="85" w:type="dxa"/>
              <w:right w:w="85" w:type="dxa"/>
            </w:tcMar>
            <w:vAlign w:val="center"/>
          </w:tcPr>
          <w:p w14:paraId="278006D0" w14:textId="77777777" w:rsidR="00D44157" w:rsidRPr="006D1BC4" w:rsidRDefault="00D44157" w:rsidP="005F3628">
            <w:pPr>
              <w:rPr>
                <w:sz w:val="16"/>
                <w:szCs w:val="16"/>
              </w:rPr>
            </w:pPr>
            <w:r>
              <w:rPr>
                <w:sz w:val="16"/>
                <w:szCs w:val="16"/>
              </w:rPr>
              <w:t>Значимые</w:t>
            </w:r>
          </w:p>
        </w:tc>
      </w:tr>
      <w:tr w:rsidR="00D44157" w:rsidRPr="006D1BC4" w14:paraId="11C9FF49" w14:textId="77777777" w:rsidTr="005F3628">
        <w:trPr>
          <w:cantSplit/>
          <w:trHeight w:val="168"/>
        </w:trPr>
        <w:tc>
          <w:tcPr>
            <w:tcW w:w="1523" w:type="dxa"/>
            <w:vMerge/>
            <w:shd w:val="clear" w:color="auto" w:fill="FFFFFF"/>
            <w:tcMar>
              <w:left w:w="85" w:type="dxa"/>
              <w:right w:w="85" w:type="dxa"/>
            </w:tcMar>
          </w:tcPr>
          <w:p w14:paraId="7F9AC3D6" w14:textId="77777777" w:rsidR="00D44157" w:rsidRPr="006D1BC4" w:rsidRDefault="00D44157" w:rsidP="005F3628">
            <w:pPr>
              <w:jc w:val="left"/>
              <w:rPr>
                <w:sz w:val="16"/>
                <w:szCs w:val="16"/>
              </w:rPr>
            </w:pPr>
          </w:p>
        </w:tc>
        <w:tc>
          <w:tcPr>
            <w:tcW w:w="1032" w:type="dxa"/>
            <w:shd w:val="clear" w:color="auto" w:fill="FFFFFF"/>
            <w:tcMar>
              <w:left w:w="85" w:type="dxa"/>
              <w:right w:w="85" w:type="dxa"/>
            </w:tcMar>
            <w:vAlign w:val="center"/>
          </w:tcPr>
          <w:p w14:paraId="6F57DA42" w14:textId="77777777" w:rsidR="00D44157" w:rsidRPr="006D1BC4" w:rsidRDefault="00D44157" w:rsidP="005F3628">
            <w:pPr>
              <w:rPr>
                <w:sz w:val="16"/>
                <w:szCs w:val="16"/>
              </w:rPr>
            </w:pPr>
            <w:r>
              <w:rPr>
                <w:sz w:val="16"/>
                <w:szCs w:val="16"/>
              </w:rPr>
              <w:t>В3</w:t>
            </w:r>
          </w:p>
        </w:tc>
        <w:tc>
          <w:tcPr>
            <w:tcW w:w="688" w:type="dxa"/>
            <w:shd w:val="clear" w:color="auto" w:fill="FFFFFF"/>
            <w:tcMar>
              <w:left w:w="85" w:type="dxa"/>
              <w:right w:w="85" w:type="dxa"/>
            </w:tcMar>
            <w:vAlign w:val="center"/>
          </w:tcPr>
          <w:p w14:paraId="185CF703" w14:textId="77777777" w:rsidR="00D44157" w:rsidRPr="006D1BC4" w:rsidRDefault="00D44157" w:rsidP="005F3628">
            <w:pPr>
              <w:rPr>
                <w:sz w:val="16"/>
                <w:szCs w:val="16"/>
              </w:rPr>
            </w:pPr>
            <w:r>
              <w:rPr>
                <w:sz w:val="16"/>
                <w:szCs w:val="16"/>
              </w:rPr>
              <w:t>96</w:t>
            </w:r>
          </w:p>
        </w:tc>
        <w:tc>
          <w:tcPr>
            <w:tcW w:w="1587" w:type="dxa"/>
            <w:shd w:val="clear" w:color="auto" w:fill="FFFFFF"/>
            <w:tcMar>
              <w:left w:w="85" w:type="dxa"/>
              <w:right w:w="85" w:type="dxa"/>
            </w:tcMar>
            <w:vAlign w:val="center"/>
          </w:tcPr>
          <w:p w14:paraId="417CEA42" w14:textId="77777777" w:rsidR="00D44157" w:rsidRPr="006D1BC4" w:rsidRDefault="00D44157" w:rsidP="005F3628">
            <w:pPr>
              <w:rPr>
                <w:sz w:val="16"/>
                <w:szCs w:val="16"/>
              </w:rPr>
            </w:pPr>
            <w:r>
              <w:rPr>
                <w:sz w:val="16"/>
                <w:szCs w:val="16"/>
              </w:rPr>
              <w:t>0,32</w:t>
            </w:r>
          </w:p>
        </w:tc>
        <w:tc>
          <w:tcPr>
            <w:tcW w:w="638" w:type="dxa"/>
            <w:shd w:val="clear" w:color="auto" w:fill="FFFFFF"/>
            <w:tcMar>
              <w:left w:w="85" w:type="dxa"/>
              <w:right w:w="85" w:type="dxa"/>
            </w:tcMar>
            <w:vAlign w:val="center"/>
          </w:tcPr>
          <w:p w14:paraId="7033BA58" w14:textId="77777777" w:rsidR="00D44157" w:rsidRPr="006D1BC4" w:rsidRDefault="00D44157" w:rsidP="005F3628">
            <w:pPr>
              <w:rPr>
                <w:sz w:val="16"/>
                <w:szCs w:val="16"/>
              </w:rPr>
            </w:pPr>
            <w:r>
              <w:rPr>
                <w:sz w:val="16"/>
                <w:szCs w:val="16"/>
              </w:rPr>
              <w:t>72</w:t>
            </w:r>
          </w:p>
        </w:tc>
        <w:tc>
          <w:tcPr>
            <w:tcW w:w="1623" w:type="dxa"/>
            <w:shd w:val="clear" w:color="auto" w:fill="FFFFFF"/>
            <w:tcMar>
              <w:left w:w="85" w:type="dxa"/>
              <w:right w:w="85" w:type="dxa"/>
            </w:tcMar>
            <w:vAlign w:val="center"/>
          </w:tcPr>
          <w:p w14:paraId="0B80B00B" w14:textId="77777777" w:rsidR="00D44157" w:rsidRPr="006D1BC4" w:rsidRDefault="00D44157" w:rsidP="005F3628">
            <w:pPr>
              <w:rPr>
                <w:sz w:val="16"/>
                <w:szCs w:val="16"/>
              </w:rPr>
            </w:pPr>
            <w:r>
              <w:rPr>
                <w:sz w:val="16"/>
                <w:szCs w:val="16"/>
              </w:rPr>
              <w:t>0,49</w:t>
            </w:r>
          </w:p>
        </w:tc>
        <w:tc>
          <w:tcPr>
            <w:tcW w:w="2050" w:type="dxa"/>
            <w:shd w:val="clear" w:color="auto" w:fill="FFFFFF"/>
            <w:tcMar>
              <w:left w:w="85" w:type="dxa"/>
              <w:right w:w="85" w:type="dxa"/>
            </w:tcMar>
            <w:vAlign w:val="center"/>
          </w:tcPr>
          <w:p w14:paraId="62EE4307" w14:textId="77777777" w:rsidR="00D44157" w:rsidRPr="006D1BC4" w:rsidRDefault="00D44157" w:rsidP="005F3628">
            <w:pPr>
              <w:rPr>
                <w:sz w:val="16"/>
                <w:szCs w:val="16"/>
              </w:rPr>
            </w:pPr>
            <w:r>
              <w:rPr>
                <w:sz w:val="16"/>
                <w:szCs w:val="16"/>
              </w:rPr>
              <w:t>0,447</w:t>
            </w:r>
          </w:p>
        </w:tc>
        <w:tc>
          <w:tcPr>
            <w:tcW w:w="1568" w:type="dxa"/>
            <w:shd w:val="clear" w:color="auto" w:fill="FFFFFF"/>
            <w:tcMar>
              <w:left w:w="85" w:type="dxa"/>
              <w:right w:w="85" w:type="dxa"/>
            </w:tcMar>
            <w:vAlign w:val="center"/>
          </w:tcPr>
          <w:p w14:paraId="698E43C0" w14:textId="77777777" w:rsidR="00D44157" w:rsidRPr="006D1BC4" w:rsidRDefault="00D44157" w:rsidP="005F3628">
            <w:pPr>
              <w:rPr>
                <w:sz w:val="16"/>
                <w:szCs w:val="16"/>
              </w:rPr>
            </w:pPr>
            <w:r>
              <w:rPr>
                <w:sz w:val="16"/>
                <w:szCs w:val="16"/>
              </w:rPr>
              <w:t>Незначимые</w:t>
            </w:r>
          </w:p>
        </w:tc>
      </w:tr>
      <w:tr w:rsidR="00D44157" w:rsidRPr="006D1BC4" w14:paraId="307B0B8E" w14:textId="77777777" w:rsidTr="005F3628">
        <w:trPr>
          <w:cantSplit/>
          <w:trHeight w:val="173"/>
        </w:trPr>
        <w:tc>
          <w:tcPr>
            <w:tcW w:w="1523" w:type="dxa"/>
            <w:vMerge/>
            <w:shd w:val="clear" w:color="auto" w:fill="FFFFFF"/>
            <w:tcMar>
              <w:left w:w="85" w:type="dxa"/>
              <w:right w:w="85" w:type="dxa"/>
            </w:tcMar>
          </w:tcPr>
          <w:p w14:paraId="0D534187" w14:textId="77777777" w:rsidR="00D44157" w:rsidRPr="006D1BC4" w:rsidRDefault="00D44157" w:rsidP="005F3628">
            <w:pPr>
              <w:jc w:val="left"/>
              <w:rPr>
                <w:sz w:val="16"/>
                <w:szCs w:val="16"/>
              </w:rPr>
            </w:pPr>
          </w:p>
        </w:tc>
        <w:tc>
          <w:tcPr>
            <w:tcW w:w="1032" w:type="dxa"/>
            <w:shd w:val="clear" w:color="auto" w:fill="FFFFFF"/>
            <w:tcMar>
              <w:left w:w="85" w:type="dxa"/>
              <w:right w:w="85" w:type="dxa"/>
            </w:tcMar>
            <w:vAlign w:val="center"/>
          </w:tcPr>
          <w:p w14:paraId="4E059FC0" w14:textId="77777777" w:rsidR="00D44157" w:rsidRPr="006D1BC4" w:rsidRDefault="00D44157" w:rsidP="005F3628">
            <w:pPr>
              <w:rPr>
                <w:sz w:val="16"/>
                <w:szCs w:val="16"/>
              </w:rPr>
            </w:pPr>
            <w:r>
              <w:rPr>
                <w:sz w:val="16"/>
                <w:szCs w:val="16"/>
              </w:rPr>
              <w:t>В4</w:t>
            </w:r>
          </w:p>
        </w:tc>
        <w:tc>
          <w:tcPr>
            <w:tcW w:w="688" w:type="dxa"/>
            <w:shd w:val="clear" w:color="auto" w:fill="FFFFFF"/>
            <w:tcMar>
              <w:left w:w="85" w:type="dxa"/>
              <w:right w:w="85" w:type="dxa"/>
            </w:tcMar>
            <w:vAlign w:val="center"/>
          </w:tcPr>
          <w:p w14:paraId="48CE5C12" w14:textId="77777777" w:rsidR="00D44157" w:rsidRPr="006D1BC4" w:rsidRDefault="00D44157" w:rsidP="005F3628">
            <w:pPr>
              <w:rPr>
                <w:sz w:val="16"/>
                <w:szCs w:val="16"/>
              </w:rPr>
            </w:pPr>
            <w:r>
              <w:rPr>
                <w:sz w:val="16"/>
                <w:szCs w:val="16"/>
              </w:rPr>
              <w:t>96</w:t>
            </w:r>
          </w:p>
        </w:tc>
        <w:tc>
          <w:tcPr>
            <w:tcW w:w="1587" w:type="dxa"/>
            <w:shd w:val="clear" w:color="auto" w:fill="FFFFFF"/>
            <w:tcMar>
              <w:left w:w="85" w:type="dxa"/>
              <w:right w:w="85" w:type="dxa"/>
            </w:tcMar>
            <w:vAlign w:val="center"/>
          </w:tcPr>
          <w:p w14:paraId="2FAEF7C8" w14:textId="77777777" w:rsidR="00D44157" w:rsidRPr="006D1BC4" w:rsidRDefault="00D44157" w:rsidP="005F3628">
            <w:pPr>
              <w:rPr>
                <w:sz w:val="16"/>
                <w:szCs w:val="16"/>
              </w:rPr>
            </w:pPr>
            <w:r>
              <w:rPr>
                <w:sz w:val="16"/>
                <w:szCs w:val="16"/>
              </w:rPr>
              <w:t>0,04</w:t>
            </w:r>
          </w:p>
        </w:tc>
        <w:tc>
          <w:tcPr>
            <w:tcW w:w="638" w:type="dxa"/>
            <w:shd w:val="clear" w:color="auto" w:fill="FFFFFF"/>
            <w:tcMar>
              <w:left w:w="85" w:type="dxa"/>
              <w:right w:w="85" w:type="dxa"/>
            </w:tcMar>
            <w:vAlign w:val="center"/>
          </w:tcPr>
          <w:p w14:paraId="666473F1" w14:textId="77777777" w:rsidR="00D44157" w:rsidRPr="006D1BC4" w:rsidRDefault="00D44157" w:rsidP="005F3628">
            <w:pPr>
              <w:rPr>
                <w:sz w:val="16"/>
                <w:szCs w:val="16"/>
              </w:rPr>
            </w:pPr>
            <w:r>
              <w:rPr>
                <w:sz w:val="16"/>
                <w:szCs w:val="16"/>
              </w:rPr>
              <w:t>72</w:t>
            </w:r>
          </w:p>
        </w:tc>
        <w:tc>
          <w:tcPr>
            <w:tcW w:w="1623" w:type="dxa"/>
            <w:shd w:val="clear" w:color="auto" w:fill="FFFFFF"/>
            <w:tcMar>
              <w:left w:w="85" w:type="dxa"/>
              <w:right w:w="85" w:type="dxa"/>
            </w:tcMar>
            <w:vAlign w:val="center"/>
          </w:tcPr>
          <w:p w14:paraId="36C0DEE9" w14:textId="77777777" w:rsidR="00D44157" w:rsidRPr="006D1BC4" w:rsidRDefault="00D44157" w:rsidP="005F3628">
            <w:pPr>
              <w:rPr>
                <w:sz w:val="16"/>
                <w:szCs w:val="16"/>
              </w:rPr>
            </w:pPr>
            <w:r>
              <w:rPr>
                <w:sz w:val="16"/>
                <w:szCs w:val="16"/>
              </w:rPr>
              <w:t>0,11</w:t>
            </w:r>
          </w:p>
        </w:tc>
        <w:tc>
          <w:tcPr>
            <w:tcW w:w="2050" w:type="dxa"/>
            <w:shd w:val="clear" w:color="auto" w:fill="FFFFFF"/>
            <w:tcMar>
              <w:left w:w="85" w:type="dxa"/>
              <w:right w:w="85" w:type="dxa"/>
            </w:tcMar>
            <w:vAlign w:val="center"/>
          </w:tcPr>
          <w:p w14:paraId="20345BE0" w14:textId="77777777" w:rsidR="00D44157" w:rsidRPr="006D1BC4" w:rsidRDefault="00D44157" w:rsidP="005F3628">
            <w:pPr>
              <w:rPr>
                <w:sz w:val="16"/>
                <w:szCs w:val="16"/>
              </w:rPr>
            </w:pPr>
            <w:r>
              <w:rPr>
                <w:sz w:val="16"/>
                <w:szCs w:val="16"/>
              </w:rPr>
              <w:t>0,421</w:t>
            </w:r>
          </w:p>
        </w:tc>
        <w:tc>
          <w:tcPr>
            <w:tcW w:w="1568" w:type="dxa"/>
            <w:shd w:val="clear" w:color="auto" w:fill="FFFFFF"/>
            <w:tcMar>
              <w:left w:w="85" w:type="dxa"/>
              <w:right w:w="85" w:type="dxa"/>
            </w:tcMar>
            <w:vAlign w:val="center"/>
          </w:tcPr>
          <w:p w14:paraId="13B561F1" w14:textId="77777777" w:rsidR="00D44157" w:rsidRPr="006D1BC4" w:rsidRDefault="00D44157" w:rsidP="005F3628">
            <w:pPr>
              <w:rPr>
                <w:sz w:val="16"/>
                <w:szCs w:val="16"/>
              </w:rPr>
            </w:pPr>
            <w:r>
              <w:rPr>
                <w:sz w:val="16"/>
                <w:szCs w:val="16"/>
              </w:rPr>
              <w:t>Незначимые</w:t>
            </w:r>
          </w:p>
        </w:tc>
      </w:tr>
      <w:tr w:rsidR="00D44157" w:rsidRPr="006D1BC4" w14:paraId="79BFFA67" w14:textId="77777777" w:rsidTr="005F3628">
        <w:trPr>
          <w:cantSplit/>
          <w:trHeight w:val="178"/>
        </w:trPr>
        <w:tc>
          <w:tcPr>
            <w:tcW w:w="1523" w:type="dxa"/>
            <w:vMerge w:val="restart"/>
            <w:shd w:val="clear" w:color="auto" w:fill="FFFFFF"/>
            <w:tcMar>
              <w:left w:w="85" w:type="dxa"/>
              <w:right w:w="85" w:type="dxa"/>
            </w:tcMar>
          </w:tcPr>
          <w:p w14:paraId="7B77187B" w14:textId="77777777" w:rsidR="00D44157" w:rsidRPr="006D1BC4" w:rsidRDefault="00D44157" w:rsidP="005F3628">
            <w:pPr>
              <w:jc w:val="left"/>
              <w:rPr>
                <w:sz w:val="16"/>
                <w:szCs w:val="16"/>
              </w:rPr>
            </w:pPr>
            <w:r>
              <w:rPr>
                <w:sz w:val="16"/>
                <w:szCs w:val="16"/>
              </w:rPr>
              <w:t>Заложенность носа</w:t>
            </w:r>
          </w:p>
        </w:tc>
        <w:tc>
          <w:tcPr>
            <w:tcW w:w="1032" w:type="dxa"/>
            <w:shd w:val="clear" w:color="auto" w:fill="FFFFFF"/>
            <w:tcMar>
              <w:left w:w="85" w:type="dxa"/>
              <w:right w:w="85" w:type="dxa"/>
            </w:tcMar>
            <w:vAlign w:val="center"/>
          </w:tcPr>
          <w:p w14:paraId="22F314FB" w14:textId="77777777" w:rsidR="00D44157" w:rsidRPr="006D1BC4" w:rsidRDefault="00D44157" w:rsidP="005F3628">
            <w:pPr>
              <w:rPr>
                <w:sz w:val="16"/>
                <w:szCs w:val="16"/>
              </w:rPr>
            </w:pPr>
            <w:r>
              <w:rPr>
                <w:sz w:val="16"/>
                <w:szCs w:val="16"/>
              </w:rPr>
              <w:t>В1</w:t>
            </w:r>
          </w:p>
        </w:tc>
        <w:tc>
          <w:tcPr>
            <w:tcW w:w="688" w:type="dxa"/>
            <w:shd w:val="clear" w:color="auto" w:fill="FFFFFF"/>
            <w:tcMar>
              <w:left w:w="85" w:type="dxa"/>
              <w:right w:w="85" w:type="dxa"/>
            </w:tcMar>
            <w:vAlign w:val="center"/>
          </w:tcPr>
          <w:p w14:paraId="6278A30B" w14:textId="77777777" w:rsidR="00D44157" w:rsidRPr="006D1BC4" w:rsidRDefault="00D44157" w:rsidP="005F3628">
            <w:pPr>
              <w:rPr>
                <w:sz w:val="16"/>
                <w:szCs w:val="16"/>
              </w:rPr>
            </w:pPr>
            <w:r>
              <w:rPr>
                <w:sz w:val="16"/>
                <w:szCs w:val="16"/>
              </w:rPr>
              <w:t>97</w:t>
            </w:r>
          </w:p>
        </w:tc>
        <w:tc>
          <w:tcPr>
            <w:tcW w:w="1587" w:type="dxa"/>
            <w:shd w:val="clear" w:color="auto" w:fill="FFFFFF"/>
            <w:tcMar>
              <w:left w:w="85" w:type="dxa"/>
              <w:right w:w="85" w:type="dxa"/>
            </w:tcMar>
            <w:vAlign w:val="center"/>
          </w:tcPr>
          <w:p w14:paraId="4913D03C" w14:textId="77777777" w:rsidR="00D44157" w:rsidRPr="006D1BC4" w:rsidRDefault="00D44157" w:rsidP="005F3628">
            <w:pPr>
              <w:rPr>
                <w:sz w:val="16"/>
                <w:szCs w:val="16"/>
              </w:rPr>
            </w:pPr>
            <w:r>
              <w:rPr>
                <w:sz w:val="16"/>
                <w:szCs w:val="16"/>
              </w:rPr>
              <w:t>3,18</w:t>
            </w:r>
          </w:p>
        </w:tc>
        <w:tc>
          <w:tcPr>
            <w:tcW w:w="638" w:type="dxa"/>
            <w:shd w:val="clear" w:color="auto" w:fill="FFFFFF"/>
            <w:tcMar>
              <w:left w:w="85" w:type="dxa"/>
              <w:right w:w="85" w:type="dxa"/>
            </w:tcMar>
            <w:vAlign w:val="center"/>
          </w:tcPr>
          <w:p w14:paraId="18287593" w14:textId="77777777" w:rsidR="00D44157" w:rsidRPr="006D1BC4" w:rsidRDefault="00D44157" w:rsidP="005F3628">
            <w:pPr>
              <w:rPr>
                <w:sz w:val="16"/>
                <w:szCs w:val="16"/>
              </w:rPr>
            </w:pPr>
            <w:r>
              <w:rPr>
                <w:sz w:val="16"/>
                <w:szCs w:val="16"/>
              </w:rPr>
              <w:t>76</w:t>
            </w:r>
          </w:p>
        </w:tc>
        <w:tc>
          <w:tcPr>
            <w:tcW w:w="1623" w:type="dxa"/>
            <w:shd w:val="clear" w:color="auto" w:fill="FFFFFF"/>
            <w:tcMar>
              <w:left w:w="85" w:type="dxa"/>
              <w:right w:w="85" w:type="dxa"/>
            </w:tcMar>
            <w:vAlign w:val="center"/>
          </w:tcPr>
          <w:p w14:paraId="633351D5" w14:textId="77777777" w:rsidR="00D44157" w:rsidRPr="006D1BC4" w:rsidRDefault="00D44157" w:rsidP="005F3628">
            <w:pPr>
              <w:rPr>
                <w:sz w:val="16"/>
                <w:szCs w:val="16"/>
              </w:rPr>
            </w:pPr>
            <w:r>
              <w:rPr>
                <w:sz w:val="16"/>
                <w:szCs w:val="16"/>
              </w:rPr>
              <w:t>2,96</w:t>
            </w:r>
          </w:p>
        </w:tc>
        <w:tc>
          <w:tcPr>
            <w:tcW w:w="2050" w:type="dxa"/>
            <w:shd w:val="clear" w:color="auto" w:fill="FFFFFF"/>
            <w:tcMar>
              <w:left w:w="85" w:type="dxa"/>
              <w:right w:w="85" w:type="dxa"/>
            </w:tcMar>
            <w:vAlign w:val="center"/>
          </w:tcPr>
          <w:p w14:paraId="42D73285" w14:textId="77777777" w:rsidR="00D44157" w:rsidRPr="006D1BC4" w:rsidRDefault="00D44157" w:rsidP="005F3628">
            <w:pPr>
              <w:rPr>
                <w:sz w:val="16"/>
                <w:szCs w:val="16"/>
              </w:rPr>
            </w:pPr>
            <w:r>
              <w:rPr>
                <w:sz w:val="16"/>
                <w:szCs w:val="16"/>
              </w:rPr>
              <w:t>0,412</w:t>
            </w:r>
          </w:p>
        </w:tc>
        <w:tc>
          <w:tcPr>
            <w:tcW w:w="1568" w:type="dxa"/>
            <w:shd w:val="clear" w:color="auto" w:fill="FFFFFF"/>
            <w:tcMar>
              <w:left w:w="85" w:type="dxa"/>
              <w:right w:w="85" w:type="dxa"/>
            </w:tcMar>
            <w:vAlign w:val="center"/>
          </w:tcPr>
          <w:p w14:paraId="54B9DF7F" w14:textId="77777777" w:rsidR="00D44157" w:rsidRPr="006D1BC4" w:rsidRDefault="00D44157" w:rsidP="005F3628">
            <w:pPr>
              <w:rPr>
                <w:sz w:val="16"/>
                <w:szCs w:val="16"/>
              </w:rPr>
            </w:pPr>
            <w:r>
              <w:rPr>
                <w:sz w:val="16"/>
                <w:szCs w:val="16"/>
              </w:rPr>
              <w:t>Незначимые</w:t>
            </w:r>
          </w:p>
        </w:tc>
      </w:tr>
      <w:tr w:rsidR="00D44157" w:rsidRPr="006D1BC4" w14:paraId="4AD86CC1" w14:textId="77777777" w:rsidTr="005F3628">
        <w:trPr>
          <w:cantSplit/>
          <w:trHeight w:val="168"/>
        </w:trPr>
        <w:tc>
          <w:tcPr>
            <w:tcW w:w="1523" w:type="dxa"/>
            <w:vMerge/>
            <w:shd w:val="clear" w:color="auto" w:fill="FFFFFF"/>
            <w:tcMar>
              <w:left w:w="85" w:type="dxa"/>
              <w:right w:w="85" w:type="dxa"/>
            </w:tcMar>
          </w:tcPr>
          <w:p w14:paraId="54F63781" w14:textId="77777777" w:rsidR="00D44157" w:rsidRPr="006D1BC4" w:rsidRDefault="00D44157" w:rsidP="005F3628">
            <w:pPr>
              <w:jc w:val="left"/>
              <w:rPr>
                <w:sz w:val="16"/>
                <w:szCs w:val="16"/>
              </w:rPr>
            </w:pPr>
          </w:p>
        </w:tc>
        <w:tc>
          <w:tcPr>
            <w:tcW w:w="1032" w:type="dxa"/>
            <w:shd w:val="clear" w:color="auto" w:fill="FFFFFF"/>
            <w:tcMar>
              <w:left w:w="85" w:type="dxa"/>
              <w:right w:w="85" w:type="dxa"/>
            </w:tcMar>
            <w:vAlign w:val="center"/>
          </w:tcPr>
          <w:p w14:paraId="04BC33E6" w14:textId="77777777" w:rsidR="00D44157" w:rsidRPr="006D1BC4" w:rsidRDefault="00D44157" w:rsidP="005F3628">
            <w:pPr>
              <w:rPr>
                <w:sz w:val="16"/>
                <w:szCs w:val="16"/>
              </w:rPr>
            </w:pPr>
            <w:r>
              <w:rPr>
                <w:sz w:val="16"/>
                <w:szCs w:val="16"/>
              </w:rPr>
              <w:t>В2</w:t>
            </w:r>
          </w:p>
        </w:tc>
        <w:tc>
          <w:tcPr>
            <w:tcW w:w="688" w:type="dxa"/>
            <w:shd w:val="clear" w:color="auto" w:fill="FFFFFF"/>
            <w:tcMar>
              <w:left w:w="85" w:type="dxa"/>
              <w:right w:w="85" w:type="dxa"/>
            </w:tcMar>
            <w:vAlign w:val="center"/>
          </w:tcPr>
          <w:p w14:paraId="431F9E79" w14:textId="77777777" w:rsidR="00D44157" w:rsidRPr="006D1BC4" w:rsidRDefault="00D44157" w:rsidP="005F3628">
            <w:pPr>
              <w:rPr>
                <w:sz w:val="16"/>
                <w:szCs w:val="16"/>
              </w:rPr>
            </w:pPr>
            <w:r>
              <w:rPr>
                <w:sz w:val="16"/>
                <w:szCs w:val="16"/>
              </w:rPr>
              <w:t>97</w:t>
            </w:r>
          </w:p>
        </w:tc>
        <w:tc>
          <w:tcPr>
            <w:tcW w:w="1587" w:type="dxa"/>
            <w:shd w:val="clear" w:color="auto" w:fill="FFFFFF"/>
            <w:tcMar>
              <w:left w:w="85" w:type="dxa"/>
              <w:right w:w="85" w:type="dxa"/>
            </w:tcMar>
            <w:vAlign w:val="center"/>
          </w:tcPr>
          <w:p w14:paraId="2F0F7055" w14:textId="77777777" w:rsidR="00D44157" w:rsidRPr="006D1BC4" w:rsidRDefault="00D44157" w:rsidP="005F3628">
            <w:pPr>
              <w:rPr>
                <w:sz w:val="16"/>
                <w:szCs w:val="16"/>
              </w:rPr>
            </w:pPr>
            <w:r>
              <w:rPr>
                <w:sz w:val="16"/>
                <w:szCs w:val="16"/>
              </w:rPr>
              <w:t>1,15</w:t>
            </w:r>
          </w:p>
        </w:tc>
        <w:tc>
          <w:tcPr>
            <w:tcW w:w="638" w:type="dxa"/>
            <w:shd w:val="clear" w:color="auto" w:fill="FFFFFF"/>
            <w:tcMar>
              <w:left w:w="85" w:type="dxa"/>
              <w:right w:w="85" w:type="dxa"/>
            </w:tcMar>
            <w:vAlign w:val="center"/>
          </w:tcPr>
          <w:p w14:paraId="7E5547B0" w14:textId="77777777" w:rsidR="00D44157" w:rsidRPr="006D1BC4" w:rsidRDefault="00D44157" w:rsidP="005F3628">
            <w:pPr>
              <w:rPr>
                <w:sz w:val="16"/>
                <w:szCs w:val="16"/>
              </w:rPr>
            </w:pPr>
            <w:r>
              <w:rPr>
                <w:sz w:val="16"/>
                <w:szCs w:val="16"/>
              </w:rPr>
              <w:t>76</w:t>
            </w:r>
          </w:p>
        </w:tc>
        <w:tc>
          <w:tcPr>
            <w:tcW w:w="1623" w:type="dxa"/>
            <w:shd w:val="clear" w:color="auto" w:fill="FFFFFF"/>
            <w:tcMar>
              <w:left w:w="85" w:type="dxa"/>
              <w:right w:w="85" w:type="dxa"/>
            </w:tcMar>
            <w:vAlign w:val="center"/>
          </w:tcPr>
          <w:p w14:paraId="28AC30D6" w14:textId="77777777" w:rsidR="00D44157" w:rsidRPr="006D1BC4" w:rsidRDefault="00D44157" w:rsidP="005F3628">
            <w:pPr>
              <w:rPr>
                <w:sz w:val="16"/>
                <w:szCs w:val="16"/>
              </w:rPr>
            </w:pPr>
            <w:r>
              <w:rPr>
                <w:sz w:val="16"/>
                <w:szCs w:val="16"/>
              </w:rPr>
              <w:t>1,46</w:t>
            </w:r>
          </w:p>
        </w:tc>
        <w:tc>
          <w:tcPr>
            <w:tcW w:w="2050" w:type="dxa"/>
            <w:shd w:val="clear" w:color="auto" w:fill="FFFFFF"/>
            <w:tcMar>
              <w:left w:w="85" w:type="dxa"/>
              <w:right w:w="85" w:type="dxa"/>
            </w:tcMar>
            <w:vAlign w:val="center"/>
          </w:tcPr>
          <w:p w14:paraId="70DA4BFE" w14:textId="77777777" w:rsidR="00D44157" w:rsidRPr="006D1BC4" w:rsidRDefault="00D44157" w:rsidP="005F3628">
            <w:pPr>
              <w:rPr>
                <w:sz w:val="16"/>
                <w:szCs w:val="16"/>
              </w:rPr>
            </w:pPr>
            <w:r>
              <w:rPr>
                <w:sz w:val="16"/>
                <w:szCs w:val="16"/>
              </w:rPr>
              <w:t>0,047</w:t>
            </w:r>
          </w:p>
        </w:tc>
        <w:tc>
          <w:tcPr>
            <w:tcW w:w="1568" w:type="dxa"/>
            <w:shd w:val="clear" w:color="auto" w:fill="FFFFFF"/>
            <w:tcMar>
              <w:left w:w="85" w:type="dxa"/>
              <w:right w:w="85" w:type="dxa"/>
            </w:tcMar>
            <w:vAlign w:val="center"/>
          </w:tcPr>
          <w:p w14:paraId="01A24FB4" w14:textId="77777777" w:rsidR="00D44157" w:rsidRPr="006D1BC4" w:rsidRDefault="00D44157" w:rsidP="005F3628">
            <w:pPr>
              <w:rPr>
                <w:sz w:val="16"/>
                <w:szCs w:val="16"/>
              </w:rPr>
            </w:pPr>
            <w:r>
              <w:rPr>
                <w:sz w:val="16"/>
                <w:szCs w:val="16"/>
              </w:rPr>
              <w:t>Значимые</w:t>
            </w:r>
          </w:p>
        </w:tc>
      </w:tr>
      <w:tr w:rsidR="00D44157" w:rsidRPr="006D1BC4" w14:paraId="1D31DE21" w14:textId="77777777" w:rsidTr="005F3628">
        <w:trPr>
          <w:cantSplit/>
          <w:trHeight w:val="168"/>
        </w:trPr>
        <w:tc>
          <w:tcPr>
            <w:tcW w:w="1523" w:type="dxa"/>
            <w:vMerge/>
            <w:shd w:val="clear" w:color="auto" w:fill="FFFFFF"/>
            <w:tcMar>
              <w:left w:w="85" w:type="dxa"/>
              <w:right w:w="85" w:type="dxa"/>
            </w:tcMar>
          </w:tcPr>
          <w:p w14:paraId="6BD10313" w14:textId="77777777" w:rsidR="00D44157" w:rsidRPr="006D1BC4" w:rsidRDefault="00D44157" w:rsidP="005F3628">
            <w:pPr>
              <w:jc w:val="left"/>
              <w:rPr>
                <w:sz w:val="16"/>
                <w:szCs w:val="16"/>
              </w:rPr>
            </w:pPr>
          </w:p>
        </w:tc>
        <w:tc>
          <w:tcPr>
            <w:tcW w:w="1032" w:type="dxa"/>
            <w:shd w:val="clear" w:color="auto" w:fill="FFFFFF"/>
            <w:tcMar>
              <w:left w:w="85" w:type="dxa"/>
              <w:right w:w="85" w:type="dxa"/>
            </w:tcMar>
            <w:vAlign w:val="center"/>
          </w:tcPr>
          <w:p w14:paraId="4C6FE8D6" w14:textId="77777777" w:rsidR="00D44157" w:rsidRPr="006D1BC4" w:rsidRDefault="00D44157" w:rsidP="005F3628">
            <w:pPr>
              <w:rPr>
                <w:sz w:val="16"/>
                <w:szCs w:val="16"/>
              </w:rPr>
            </w:pPr>
            <w:r>
              <w:rPr>
                <w:sz w:val="16"/>
                <w:szCs w:val="16"/>
              </w:rPr>
              <w:t>В3</w:t>
            </w:r>
          </w:p>
        </w:tc>
        <w:tc>
          <w:tcPr>
            <w:tcW w:w="688" w:type="dxa"/>
            <w:shd w:val="clear" w:color="auto" w:fill="FFFFFF"/>
            <w:tcMar>
              <w:left w:w="85" w:type="dxa"/>
              <w:right w:w="85" w:type="dxa"/>
            </w:tcMar>
            <w:vAlign w:val="center"/>
          </w:tcPr>
          <w:p w14:paraId="7C443A2C" w14:textId="77777777" w:rsidR="00D44157" w:rsidRPr="006D1BC4" w:rsidRDefault="00D44157" w:rsidP="005F3628">
            <w:pPr>
              <w:rPr>
                <w:sz w:val="16"/>
                <w:szCs w:val="16"/>
              </w:rPr>
            </w:pPr>
            <w:r>
              <w:rPr>
                <w:sz w:val="16"/>
                <w:szCs w:val="16"/>
              </w:rPr>
              <w:t>96</w:t>
            </w:r>
          </w:p>
        </w:tc>
        <w:tc>
          <w:tcPr>
            <w:tcW w:w="1587" w:type="dxa"/>
            <w:shd w:val="clear" w:color="auto" w:fill="FFFFFF"/>
            <w:tcMar>
              <w:left w:w="85" w:type="dxa"/>
              <w:right w:w="85" w:type="dxa"/>
            </w:tcMar>
            <w:vAlign w:val="center"/>
          </w:tcPr>
          <w:p w14:paraId="6078A16B" w14:textId="77777777" w:rsidR="00D44157" w:rsidRPr="006D1BC4" w:rsidRDefault="00D44157" w:rsidP="005F3628">
            <w:pPr>
              <w:rPr>
                <w:sz w:val="16"/>
                <w:szCs w:val="16"/>
              </w:rPr>
            </w:pPr>
            <w:r>
              <w:rPr>
                <w:sz w:val="16"/>
                <w:szCs w:val="16"/>
              </w:rPr>
              <w:t>0,20</w:t>
            </w:r>
          </w:p>
        </w:tc>
        <w:tc>
          <w:tcPr>
            <w:tcW w:w="638" w:type="dxa"/>
            <w:shd w:val="clear" w:color="auto" w:fill="FFFFFF"/>
            <w:tcMar>
              <w:left w:w="85" w:type="dxa"/>
              <w:right w:w="85" w:type="dxa"/>
            </w:tcMar>
            <w:vAlign w:val="center"/>
          </w:tcPr>
          <w:p w14:paraId="0ED57465" w14:textId="77777777" w:rsidR="00D44157" w:rsidRPr="006D1BC4" w:rsidRDefault="00D44157" w:rsidP="005F3628">
            <w:pPr>
              <w:rPr>
                <w:sz w:val="16"/>
                <w:szCs w:val="16"/>
              </w:rPr>
            </w:pPr>
            <w:r>
              <w:rPr>
                <w:sz w:val="16"/>
                <w:szCs w:val="16"/>
              </w:rPr>
              <w:t>72</w:t>
            </w:r>
          </w:p>
        </w:tc>
        <w:tc>
          <w:tcPr>
            <w:tcW w:w="1623" w:type="dxa"/>
            <w:shd w:val="clear" w:color="auto" w:fill="FFFFFF"/>
            <w:tcMar>
              <w:left w:w="85" w:type="dxa"/>
              <w:right w:w="85" w:type="dxa"/>
            </w:tcMar>
            <w:vAlign w:val="center"/>
          </w:tcPr>
          <w:p w14:paraId="2DDEF719" w14:textId="77777777" w:rsidR="00D44157" w:rsidRPr="006D1BC4" w:rsidRDefault="00D44157" w:rsidP="005F3628">
            <w:pPr>
              <w:rPr>
                <w:sz w:val="16"/>
                <w:szCs w:val="16"/>
              </w:rPr>
            </w:pPr>
            <w:r>
              <w:rPr>
                <w:sz w:val="16"/>
                <w:szCs w:val="16"/>
              </w:rPr>
              <w:t>0,29</w:t>
            </w:r>
          </w:p>
        </w:tc>
        <w:tc>
          <w:tcPr>
            <w:tcW w:w="2050" w:type="dxa"/>
            <w:shd w:val="clear" w:color="auto" w:fill="FFFFFF"/>
            <w:tcMar>
              <w:left w:w="85" w:type="dxa"/>
              <w:right w:w="85" w:type="dxa"/>
            </w:tcMar>
            <w:vAlign w:val="center"/>
          </w:tcPr>
          <w:p w14:paraId="5DBA3A98" w14:textId="77777777" w:rsidR="00D44157" w:rsidRPr="006D1BC4" w:rsidRDefault="00D44157" w:rsidP="005F3628">
            <w:pPr>
              <w:rPr>
                <w:sz w:val="16"/>
                <w:szCs w:val="16"/>
              </w:rPr>
            </w:pPr>
            <w:r>
              <w:rPr>
                <w:sz w:val="16"/>
                <w:szCs w:val="16"/>
              </w:rPr>
              <w:t>0,183</w:t>
            </w:r>
          </w:p>
        </w:tc>
        <w:tc>
          <w:tcPr>
            <w:tcW w:w="1568" w:type="dxa"/>
            <w:shd w:val="clear" w:color="auto" w:fill="FFFFFF"/>
            <w:tcMar>
              <w:left w:w="85" w:type="dxa"/>
              <w:right w:w="85" w:type="dxa"/>
            </w:tcMar>
            <w:vAlign w:val="center"/>
          </w:tcPr>
          <w:p w14:paraId="4C66C21E" w14:textId="77777777" w:rsidR="00D44157" w:rsidRPr="006D1BC4" w:rsidRDefault="00D44157" w:rsidP="005F3628">
            <w:pPr>
              <w:rPr>
                <w:sz w:val="16"/>
                <w:szCs w:val="16"/>
              </w:rPr>
            </w:pPr>
            <w:r>
              <w:rPr>
                <w:sz w:val="16"/>
                <w:szCs w:val="16"/>
              </w:rPr>
              <w:t>Незначимые</w:t>
            </w:r>
          </w:p>
        </w:tc>
      </w:tr>
      <w:tr w:rsidR="00D44157" w:rsidRPr="006D1BC4" w14:paraId="7FF2DB38" w14:textId="77777777" w:rsidTr="005F3628">
        <w:trPr>
          <w:cantSplit/>
          <w:trHeight w:val="173"/>
        </w:trPr>
        <w:tc>
          <w:tcPr>
            <w:tcW w:w="1523" w:type="dxa"/>
            <w:vMerge/>
            <w:shd w:val="clear" w:color="auto" w:fill="FFFFFF"/>
            <w:tcMar>
              <w:left w:w="85" w:type="dxa"/>
              <w:right w:w="85" w:type="dxa"/>
            </w:tcMar>
          </w:tcPr>
          <w:p w14:paraId="1D235AAD" w14:textId="77777777" w:rsidR="00D44157" w:rsidRPr="006D1BC4" w:rsidRDefault="00D44157" w:rsidP="005F3628">
            <w:pPr>
              <w:jc w:val="left"/>
              <w:rPr>
                <w:sz w:val="16"/>
                <w:szCs w:val="16"/>
              </w:rPr>
            </w:pPr>
          </w:p>
        </w:tc>
        <w:tc>
          <w:tcPr>
            <w:tcW w:w="1032" w:type="dxa"/>
            <w:shd w:val="clear" w:color="auto" w:fill="FFFFFF"/>
            <w:tcMar>
              <w:left w:w="85" w:type="dxa"/>
              <w:right w:w="85" w:type="dxa"/>
            </w:tcMar>
            <w:vAlign w:val="center"/>
          </w:tcPr>
          <w:p w14:paraId="705A6BA6" w14:textId="77777777" w:rsidR="00D44157" w:rsidRPr="006D1BC4" w:rsidRDefault="00D44157" w:rsidP="005F3628">
            <w:pPr>
              <w:rPr>
                <w:sz w:val="16"/>
                <w:szCs w:val="16"/>
              </w:rPr>
            </w:pPr>
            <w:r>
              <w:rPr>
                <w:sz w:val="16"/>
                <w:szCs w:val="16"/>
              </w:rPr>
              <w:t>В4</w:t>
            </w:r>
          </w:p>
        </w:tc>
        <w:tc>
          <w:tcPr>
            <w:tcW w:w="688" w:type="dxa"/>
            <w:shd w:val="clear" w:color="auto" w:fill="FFFFFF"/>
            <w:tcMar>
              <w:left w:w="85" w:type="dxa"/>
              <w:right w:w="85" w:type="dxa"/>
            </w:tcMar>
            <w:vAlign w:val="center"/>
          </w:tcPr>
          <w:p w14:paraId="57E0A01C" w14:textId="77777777" w:rsidR="00D44157" w:rsidRPr="006D1BC4" w:rsidRDefault="00D44157" w:rsidP="005F3628">
            <w:pPr>
              <w:rPr>
                <w:sz w:val="16"/>
                <w:szCs w:val="16"/>
              </w:rPr>
            </w:pPr>
            <w:r>
              <w:rPr>
                <w:sz w:val="16"/>
                <w:szCs w:val="16"/>
              </w:rPr>
              <w:t>96</w:t>
            </w:r>
          </w:p>
        </w:tc>
        <w:tc>
          <w:tcPr>
            <w:tcW w:w="1587" w:type="dxa"/>
            <w:shd w:val="clear" w:color="auto" w:fill="FFFFFF"/>
            <w:tcMar>
              <w:left w:w="85" w:type="dxa"/>
              <w:right w:w="85" w:type="dxa"/>
            </w:tcMar>
            <w:vAlign w:val="center"/>
          </w:tcPr>
          <w:p w14:paraId="5F6B4616" w14:textId="77777777" w:rsidR="00D44157" w:rsidRPr="006D1BC4" w:rsidRDefault="00D44157" w:rsidP="005F3628">
            <w:pPr>
              <w:rPr>
                <w:sz w:val="16"/>
                <w:szCs w:val="16"/>
              </w:rPr>
            </w:pPr>
            <w:r>
              <w:rPr>
                <w:sz w:val="16"/>
                <w:szCs w:val="16"/>
              </w:rPr>
              <w:t>0,05</w:t>
            </w:r>
          </w:p>
        </w:tc>
        <w:tc>
          <w:tcPr>
            <w:tcW w:w="638" w:type="dxa"/>
            <w:shd w:val="clear" w:color="auto" w:fill="FFFFFF"/>
            <w:tcMar>
              <w:left w:w="85" w:type="dxa"/>
              <w:right w:w="85" w:type="dxa"/>
            </w:tcMar>
            <w:vAlign w:val="center"/>
          </w:tcPr>
          <w:p w14:paraId="316C93C2" w14:textId="77777777" w:rsidR="00D44157" w:rsidRPr="006D1BC4" w:rsidRDefault="00D44157" w:rsidP="005F3628">
            <w:pPr>
              <w:rPr>
                <w:sz w:val="16"/>
                <w:szCs w:val="16"/>
              </w:rPr>
            </w:pPr>
            <w:r>
              <w:rPr>
                <w:sz w:val="16"/>
                <w:szCs w:val="16"/>
              </w:rPr>
              <w:t>72</w:t>
            </w:r>
          </w:p>
        </w:tc>
        <w:tc>
          <w:tcPr>
            <w:tcW w:w="1623" w:type="dxa"/>
            <w:shd w:val="clear" w:color="auto" w:fill="FFFFFF"/>
            <w:tcMar>
              <w:left w:w="85" w:type="dxa"/>
              <w:right w:w="85" w:type="dxa"/>
            </w:tcMar>
            <w:vAlign w:val="center"/>
          </w:tcPr>
          <w:p w14:paraId="2D6D442E" w14:textId="77777777" w:rsidR="00D44157" w:rsidRPr="006D1BC4" w:rsidRDefault="00D44157" w:rsidP="005F3628">
            <w:pPr>
              <w:rPr>
                <w:sz w:val="16"/>
                <w:szCs w:val="16"/>
              </w:rPr>
            </w:pPr>
            <w:r>
              <w:rPr>
                <w:sz w:val="16"/>
                <w:szCs w:val="16"/>
              </w:rPr>
              <w:t>0,08</w:t>
            </w:r>
          </w:p>
        </w:tc>
        <w:tc>
          <w:tcPr>
            <w:tcW w:w="2050" w:type="dxa"/>
            <w:shd w:val="clear" w:color="auto" w:fill="FFFFFF"/>
            <w:tcMar>
              <w:left w:w="85" w:type="dxa"/>
              <w:right w:w="85" w:type="dxa"/>
            </w:tcMar>
            <w:vAlign w:val="center"/>
          </w:tcPr>
          <w:p w14:paraId="53DD7638" w14:textId="77777777" w:rsidR="00D44157" w:rsidRPr="006D1BC4" w:rsidRDefault="00D44157" w:rsidP="005F3628">
            <w:pPr>
              <w:rPr>
                <w:sz w:val="16"/>
                <w:szCs w:val="16"/>
              </w:rPr>
            </w:pPr>
            <w:r>
              <w:rPr>
                <w:sz w:val="16"/>
                <w:szCs w:val="16"/>
              </w:rPr>
              <w:t>0,433</w:t>
            </w:r>
          </w:p>
        </w:tc>
        <w:tc>
          <w:tcPr>
            <w:tcW w:w="1568" w:type="dxa"/>
            <w:shd w:val="clear" w:color="auto" w:fill="FFFFFF"/>
            <w:tcMar>
              <w:left w:w="85" w:type="dxa"/>
              <w:right w:w="85" w:type="dxa"/>
            </w:tcMar>
            <w:vAlign w:val="center"/>
          </w:tcPr>
          <w:p w14:paraId="720D368E" w14:textId="77777777" w:rsidR="00D44157" w:rsidRPr="006D1BC4" w:rsidRDefault="00D44157" w:rsidP="005F3628">
            <w:pPr>
              <w:rPr>
                <w:sz w:val="16"/>
                <w:szCs w:val="16"/>
              </w:rPr>
            </w:pPr>
            <w:r>
              <w:rPr>
                <w:sz w:val="16"/>
                <w:szCs w:val="16"/>
              </w:rPr>
              <w:t>Незначимые</w:t>
            </w:r>
          </w:p>
        </w:tc>
      </w:tr>
      <w:tr w:rsidR="00D44157" w:rsidRPr="006D1BC4" w14:paraId="4194800B" w14:textId="77777777" w:rsidTr="005F3628">
        <w:trPr>
          <w:cantSplit/>
          <w:trHeight w:val="173"/>
        </w:trPr>
        <w:tc>
          <w:tcPr>
            <w:tcW w:w="1523" w:type="dxa"/>
            <w:vMerge w:val="restart"/>
            <w:shd w:val="clear" w:color="auto" w:fill="FFFFFF"/>
            <w:tcMar>
              <w:left w:w="85" w:type="dxa"/>
              <w:right w:w="85" w:type="dxa"/>
            </w:tcMar>
          </w:tcPr>
          <w:p w14:paraId="22D0FA71" w14:textId="77777777" w:rsidR="00D44157" w:rsidRPr="006D1BC4" w:rsidRDefault="00D44157" w:rsidP="005F3628">
            <w:pPr>
              <w:jc w:val="left"/>
              <w:rPr>
                <w:sz w:val="16"/>
                <w:szCs w:val="16"/>
              </w:rPr>
            </w:pPr>
            <w:r>
              <w:rPr>
                <w:sz w:val="16"/>
                <w:szCs w:val="16"/>
              </w:rPr>
              <w:t>Стекание по задней стенке носоглотки</w:t>
            </w:r>
          </w:p>
        </w:tc>
        <w:tc>
          <w:tcPr>
            <w:tcW w:w="1032" w:type="dxa"/>
            <w:shd w:val="clear" w:color="auto" w:fill="FFFFFF"/>
            <w:tcMar>
              <w:left w:w="85" w:type="dxa"/>
              <w:right w:w="85" w:type="dxa"/>
            </w:tcMar>
            <w:vAlign w:val="center"/>
          </w:tcPr>
          <w:p w14:paraId="462487B5" w14:textId="77777777" w:rsidR="00D44157" w:rsidRPr="006D1BC4" w:rsidRDefault="00D44157" w:rsidP="005F3628">
            <w:pPr>
              <w:rPr>
                <w:sz w:val="16"/>
                <w:szCs w:val="16"/>
              </w:rPr>
            </w:pPr>
            <w:r>
              <w:rPr>
                <w:sz w:val="16"/>
                <w:szCs w:val="16"/>
              </w:rPr>
              <w:t>В1</w:t>
            </w:r>
          </w:p>
        </w:tc>
        <w:tc>
          <w:tcPr>
            <w:tcW w:w="688" w:type="dxa"/>
            <w:shd w:val="clear" w:color="auto" w:fill="FFFFFF"/>
            <w:tcMar>
              <w:left w:w="85" w:type="dxa"/>
              <w:right w:w="85" w:type="dxa"/>
            </w:tcMar>
            <w:vAlign w:val="center"/>
          </w:tcPr>
          <w:p w14:paraId="02770F9D" w14:textId="77777777" w:rsidR="00D44157" w:rsidRPr="006D1BC4" w:rsidRDefault="00D44157" w:rsidP="005F3628">
            <w:pPr>
              <w:rPr>
                <w:sz w:val="16"/>
                <w:szCs w:val="16"/>
              </w:rPr>
            </w:pPr>
            <w:r>
              <w:rPr>
                <w:sz w:val="16"/>
                <w:szCs w:val="16"/>
              </w:rPr>
              <w:t>97</w:t>
            </w:r>
          </w:p>
        </w:tc>
        <w:tc>
          <w:tcPr>
            <w:tcW w:w="1587" w:type="dxa"/>
            <w:shd w:val="clear" w:color="auto" w:fill="FFFFFF"/>
            <w:tcMar>
              <w:left w:w="85" w:type="dxa"/>
              <w:right w:w="85" w:type="dxa"/>
            </w:tcMar>
            <w:vAlign w:val="center"/>
          </w:tcPr>
          <w:p w14:paraId="2C9E99E2" w14:textId="77777777" w:rsidR="00D44157" w:rsidRPr="006D1BC4" w:rsidRDefault="00D44157" w:rsidP="005F3628">
            <w:pPr>
              <w:rPr>
                <w:sz w:val="16"/>
                <w:szCs w:val="16"/>
              </w:rPr>
            </w:pPr>
            <w:r>
              <w:rPr>
                <w:sz w:val="16"/>
                <w:szCs w:val="16"/>
              </w:rPr>
              <w:t>2,00</w:t>
            </w:r>
          </w:p>
        </w:tc>
        <w:tc>
          <w:tcPr>
            <w:tcW w:w="638" w:type="dxa"/>
            <w:shd w:val="clear" w:color="auto" w:fill="FFFFFF"/>
            <w:tcMar>
              <w:left w:w="85" w:type="dxa"/>
              <w:right w:w="85" w:type="dxa"/>
            </w:tcMar>
            <w:vAlign w:val="center"/>
          </w:tcPr>
          <w:p w14:paraId="5B822E25" w14:textId="77777777" w:rsidR="00D44157" w:rsidRPr="006D1BC4" w:rsidRDefault="00D44157" w:rsidP="005F3628">
            <w:pPr>
              <w:rPr>
                <w:sz w:val="16"/>
                <w:szCs w:val="16"/>
              </w:rPr>
            </w:pPr>
            <w:r>
              <w:rPr>
                <w:sz w:val="16"/>
                <w:szCs w:val="16"/>
              </w:rPr>
              <w:t>76</w:t>
            </w:r>
          </w:p>
        </w:tc>
        <w:tc>
          <w:tcPr>
            <w:tcW w:w="1623" w:type="dxa"/>
            <w:shd w:val="clear" w:color="auto" w:fill="FFFFFF"/>
            <w:tcMar>
              <w:left w:w="85" w:type="dxa"/>
              <w:right w:w="85" w:type="dxa"/>
            </w:tcMar>
            <w:vAlign w:val="center"/>
          </w:tcPr>
          <w:p w14:paraId="2C313761" w14:textId="77777777" w:rsidR="00D44157" w:rsidRPr="006D1BC4" w:rsidRDefault="00D44157" w:rsidP="005F3628">
            <w:pPr>
              <w:rPr>
                <w:sz w:val="16"/>
                <w:szCs w:val="16"/>
              </w:rPr>
            </w:pPr>
            <w:r>
              <w:rPr>
                <w:sz w:val="16"/>
                <w:szCs w:val="16"/>
              </w:rPr>
              <w:t>1,79</w:t>
            </w:r>
          </w:p>
        </w:tc>
        <w:tc>
          <w:tcPr>
            <w:tcW w:w="2050" w:type="dxa"/>
            <w:shd w:val="clear" w:color="auto" w:fill="FFFFFF"/>
            <w:tcMar>
              <w:left w:w="85" w:type="dxa"/>
              <w:right w:w="85" w:type="dxa"/>
            </w:tcMar>
            <w:vAlign w:val="center"/>
          </w:tcPr>
          <w:p w14:paraId="77265A54" w14:textId="77777777" w:rsidR="00D44157" w:rsidRPr="006D1BC4" w:rsidRDefault="00D44157" w:rsidP="005F3628">
            <w:pPr>
              <w:rPr>
                <w:sz w:val="16"/>
                <w:szCs w:val="16"/>
              </w:rPr>
            </w:pPr>
            <w:r>
              <w:rPr>
                <w:sz w:val="16"/>
                <w:szCs w:val="16"/>
              </w:rPr>
              <w:t>0,369</w:t>
            </w:r>
          </w:p>
        </w:tc>
        <w:tc>
          <w:tcPr>
            <w:tcW w:w="1568" w:type="dxa"/>
            <w:shd w:val="clear" w:color="auto" w:fill="FFFFFF"/>
            <w:tcMar>
              <w:left w:w="85" w:type="dxa"/>
              <w:right w:w="85" w:type="dxa"/>
            </w:tcMar>
            <w:vAlign w:val="center"/>
          </w:tcPr>
          <w:p w14:paraId="15643D68" w14:textId="77777777" w:rsidR="00D44157" w:rsidRPr="006D1BC4" w:rsidRDefault="00D44157" w:rsidP="005F3628">
            <w:pPr>
              <w:rPr>
                <w:sz w:val="16"/>
                <w:szCs w:val="16"/>
              </w:rPr>
            </w:pPr>
            <w:r>
              <w:rPr>
                <w:sz w:val="16"/>
                <w:szCs w:val="16"/>
              </w:rPr>
              <w:t>Незначимые</w:t>
            </w:r>
          </w:p>
        </w:tc>
      </w:tr>
      <w:tr w:rsidR="00D44157" w:rsidRPr="006D1BC4" w14:paraId="4163DA50" w14:textId="77777777" w:rsidTr="005F3628">
        <w:trPr>
          <w:cantSplit/>
          <w:trHeight w:val="173"/>
        </w:trPr>
        <w:tc>
          <w:tcPr>
            <w:tcW w:w="1523" w:type="dxa"/>
            <w:vMerge/>
            <w:shd w:val="clear" w:color="auto" w:fill="FFFFFF"/>
            <w:tcMar>
              <w:left w:w="85" w:type="dxa"/>
              <w:right w:w="85" w:type="dxa"/>
            </w:tcMar>
            <w:vAlign w:val="center"/>
          </w:tcPr>
          <w:p w14:paraId="790107D9" w14:textId="77777777" w:rsidR="00D44157" w:rsidRPr="006D1BC4" w:rsidRDefault="00D44157" w:rsidP="005F3628">
            <w:pPr>
              <w:rPr>
                <w:sz w:val="16"/>
                <w:szCs w:val="16"/>
              </w:rPr>
            </w:pPr>
          </w:p>
        </w:tc>
        <w:tc>
          <w:tcPr>
            <w:tcW w:w="1032" w:type="dxa"/>
            <w:shd w:val="clear" w:color="auto" w:fill="FFFFFF"/>
            <w:tcMar>
              <w:left w:w="85" w:type="dxa"/>
              <w:right w:w="85" w:type="dxa"/>
            </w:tcMar>
            <w:vAlign w:val="center"/>
          </w:tcPr>
          <w:p w14:paraId="37971894" w14:textId="77777777" w:rsidR="00D44157" w:rsidRPr="006D1BC4" w:rsidRDefault="00D44157" w:rsidP="005F3628">
            <w:pPr>
              <w:rPr>
                <w:sz w:val="16"/>
                <w:szCs w:val="16"/>
              </w:rPr>
            </w:pPr>
            <w:r>
              <w:rPr>
                <w:sz w:val="16"/>
                <w:szCs w:val="16"/>
              </w:rPr>
              <w:t>В2</w:t>
            </w:r>
          </w:p>
        </w:tc>
        <w:tc>
          <w:tcPr>
            <w:tcW w:w="688" w:type="dxa"/>
            <w:shd w:val="clear" w:color="auto" w:fill="FFFFFF"/>
            <w:tcMar>
              <w:left w:w="85" w:type="dxa"/>
              <w:right w:w="85" w:type="dxa"/>
            </w:tcMar>
            <w:vAlign w:val="center"/>
          </w:tcPr>
          <w:p w14:paraId="3A96AC46" w14:textId="77777777" w:rsidR="00D44157" w:rsidRPr="006D1BC4" w:rsidRDefault="00D44157" w:rsidP="005F3628">
            <w:pPr>
              <w:rPr>
                <w:sz w:val="16"/>
                <w:szCs w:val="16"/>
              </w:rPr>
            </w:pPr>
            <w:r>
              <w:rPr>
                <w:sz w:val="16"/>
                <w:szCs w:val="16"/>
              </w:rPr>
              <w:t>97</w:t>
            </w:r>
          </w:p>
        </w:tc>
        <w:tc>
          <w:tcPr>
            <w:tcW w:w="1587" w:type="dxa"/>
            <w:shd w:val="clear" w:color="auto" w:fill="FFFFFF"/>
            <w:tcMar>
              <w:left w:w="85" w:type="dxa"/>
              <w:right w:w="85" w:type="dxa"/>
            </w:tcMar>
            <w:vAlign w:val="center"/>
          </w:tcPr>
          <w:p w14:paraId="415BD059" w14:textId="77777777" w:rsidR="00D44157" w:rsidRPr="006D1BC4" w:rsidRDefault="00D44157" w:rsidP="005F3628">
            <w:pPr>
              <w:rPr>
                <w:sz w:val="16"/>
                <w:szCs w:val="16"/>
              </w:rPr>
            </w:pPr>
            <w:r>
              <w:rPr>
                <w:sz w:val="16"/>
                <w:szCs w:val="16"/>
              </w:rPr>
              <w:t>1,02</w:t>
            </w:r>
          </w:p>
        </w:tc>
        <w:tc>
          <w:tcPr>
            <w:tcW w:w="638" w:type="dxa"/>
            <w:shd w:val="clear" w:color="auto" w:fill="FFFFFF"/>
            <w:tcMar>
              <w:left w:w="85" w:type="dxa"/>
              <w:right w:w="85" w:type="dxa"/>
            </w:tcMar>
            <w:vAlign w:val="center"/>
          </w:tcPr>
          <w:p w14:paraId="7A54B4C7" w14:textId="77777777" w:rsidR="00D44157" w:rsidRPr="006D1BC4" w:rsidRDefault="00D44157" w:rsidP="005F3628">
            <w:pPr>
              <w:rPr>
                <w:sz w:val="16"/>
                <w:szCs w:val="16"/>
              </w:rPr>
            </w:pPr>
            <w:r>
              <w:rPr>
                <w:sz w:val="16"/>
                <w:szCs w:val="16"/>
              </w:rPr>
              <w:t>76</w:t>
            </w:r>
          </w:p>
        </w:tc>
        <w:tc>
          <w:tcPr>
            <w:tcW w:w="1623" w:type="dxa"/>
            <w:shd w:val="clear" w:color="auto" w:fill="FFFFFF"/>
            <w:tcMar>
              <w:left w:w="85" w:type="dxa"/>
              <w:right w:w="85" w:type="dxa"/>
            </w:tcMar>
            <w:vAlign w:val="center"/>
          </w:tcPr>
          <w:p w14:paraId="1EA83D51" w14:textId="77777777" w:rsidR="00D44157" w:rsidRPr="006D1BC4" w:rsidRDefault="00D44157" w:rsidP="005F3628">
            <w:pPr>
              <w:rPr>
                <w:sz w:val="16"/>
                <w:szCs w:val="16"/>
              </w:rPr>
            </w:pPr>
            <w:r>
              <w:rPr>
                <w:sz w:val="16"/>
                <w:szCs w:val="16"/>
              </w:rPr>
              <w:t>1,51</w:t>
            </w:r>
          </w:p>
        </w:tc>
        <w:tc>
          <w:tcPr>
            <w:tcW w:w="2050" w:type="dxa"/>
            <w:shd w:val="clear" w:color="auto" w:fill="FFFFFF"/>
            <w:tcMar>
              <w:left w:w="85" w:type="dxa"/>
              <w:right w:w="85" w:type="dxa"/>
            </w:tcMar>
            <w:vAlign w:val="center"/>
          </w:tcPr>
          <w:p w14:paraId="37450C31" w14:textId="77777777" w:rsidR="00D44157" w:rsidRPr="006D1BC4" w:rsidRDefault="00D44157" w:rsidP="005F3628">
            <w:pPr>
              <w:rPr>
                <w:sz w:val="16"/>
                <w:szCs w:val="16"/>
              </w:rPr>
            </w:pPr>
            <w:r>
              <w:rPr>
                <w:sz w:val="16"/>
                <w:szCs w:val="16"/>
              </w:rPr>
              <w:t>0,026</w:t>
            </w:r>
          </w:p>
        </w:tc>
        <w:tc>
          <w:tcPr>
            <w:tcW w:w="1568" w:type="dxa"/>
            <w:shd w:val="clear" w:color="auto" w:fill="FFFFFF"/>
            <w:tcMar>
              <w:left w:w="85" w:type="dxa"/>
              <w:right w:w="85" w:type="dxa"/>
            </w:tcMar>
            <w:vAlign w:val="center"/>
          </w:tcPr>
          <w:p w14:paraId="6EF17D61" w14:textId="77777777" w:rsidR="00D44157" w:rsidRPr="006D1BC4" w:rsidRDefault="00D44157" w:rsidP="005F3628">
            <w:pPr>
              <w:rPr>
                <w:sz w:val="16"/>
                <w:szCs w:val="16"/>
              </w:rPr>
            </w:pPr>
            <w:r>
              <w:rPr>
                <w:sz w:val="16"/>
                <w:szCs w:val="16"/>
              </w:rPr>
              <w:t>Значимые</w:t>
            </w:r>
          </w:p>
        </w:tc>
      </w:tr>
      <w:tr w:rsidR="00D44157" w:rsidRPr="006D1BC4" w14:paraId="5A5F82B7" w14:textId="77777777" w:rsidTr="005F3628">
        <w:trPr>
          <w:cantSplit/>
          <w:trHeight w:val="168"/>
        </w:trPr>
        <w:tc>
          <w:tcPr>
            <w:tcW w:w="1523" w:type="dxa"/>
            <w:vMerge/>
            <w:shd w:val="clear" w:color="auto" w:fill="FFFFFF"/>
            <w:tcMar>
              <w:left w:w="85" w:type="dxa"/>
              <w:right w:w="85" w:type="dxa"/>
            </w:tcMar>
            <w:vAlign w:val="center"/>
          </w:tcPr>
          <w:p w14:paraId="2EBB1471" w14:textId="77777777" w:rsidR="00D44157" w:rsidRPr="006D1BC4" w:rsidRDefault="00D44157" w:rsidP="005F3628">
            <w:pPr>
              <w:rPr>
                <w:sz w:val="16"/>
                <w:szCs w:val="16"/>
              </w:rPr>
            </w:pPr>
          </w:p>
        </w:tc>
        <w:tc>
          <w:tcPr>
            <w:tcW w:w="1032" w:type="dxa"/>
            <w:shd w:val="clear" w:color="auto" w:fill="FFFFFF"/>
            <w:tcMar>
              <w:left w:w="85" w:type="dxa"/>
              <w:right w:w="85" w:type="dxa"/>
            </w:tcMar>
            <w:vAlign w:val="center"/>
          </w:tcPr>
          <w:p w14:paraId="5A0C03AC" w14:textId="77777777" w:rsidR="00D44157" w:rsidRPr="006D1BC4" w:rsidRDefault="00D44157" w:rsidP="005F3628">
            <w:pPr>
              <w:rPr>
                <w:sz w:val="16"/>
                <w:szCs w:val="16"/>
              </w:rPr>
            </w:pPr>
            <w:r>
              <w:rPr>
                <w:sz w:val="16"/>
                <w:szCs w:val="16"/>
              </w:rPr>
              <w:t>В3</w:t>
            </w:r>
          </w:p>
        </w:tc>
        <w:tc>
          <w:tcPr>
            <w:tcW w:w="688" w:type="dxa"/>
            <w:shd w:val="clear" w:color="auto" w:fill="FFFFFF"/>
            <w:tcMar>
              <w:left w:w="85" w:type="dxa"/>
              <w:right w:w="85" w:type="dxa"/>
            </w:tcMar>
            <w:vAlign w:val="center"/>
          </w:tcPr>
          <w:p w14:paraId="19F5C869" w14:textId="77777777" w:rsidR="00D44157" w:rsidRPr="006D1BC4" w:rsidRDefault="00D44157" w:rsidP="005F3628">
            <w:pPr>
              <w:rPr>
                <w:sz w:val="16"/>
                <w:szCs w:val="16"/>
              </w:rPr>
            </w:pPr>
            <w:r>
              <w:rPr>
                <w:sz w:val="16"/>
                <w:szCs w:val="16"/>
              </w:rPr>
              <w:t>96</w:t>
            </w:r>
          </w:p>
        </w:tc>
        <w:tc>
          <w:tcPr>
            <w:tcW w:w="1587" w:type="dxa"/>
            <w:shd w:val="clear" w:color="auto" w:fill="FFFFFF"/>
            <w:tcMar>
              <w:left w:w="85" w:type="dxa"/>
              <w:right w:w="85" w:type="dxa"/>
            </w:tcMar>
            <w:vAlign w:val="center"/>
          </w:tcPr>
          <w:p w14:paraId="05161F58" w14:textId="77777777" w:rsidR="00D44157" w:rsidRPr="006D1BC4" w:rsidRDefault="00D44157" w:rsidP="005F3628">
            <w:pPr>
              <w:rPr>
                <w:sz w:val="16"/>
                <w:szCs w:val="16"/>
              </w:rPr>
            </w:pPr>
            <w:r>
              <w:rPr>
                <w:sz w:val="16"/>
                <w:szCs w:val="16"/>
              </w:rPr>
              <w:t>0,23</w:t>
            </w:r>
          </w:p>
        </w:tc>
        <w:tc>
          <w:tcPr>
            <w:tcW w:w="638" w:type="dxa"/>
            <w:shd w:val="clear" w:color="auto" w:fill="FFFFFF"/>
            <w:tcMar>
              <w:left w:w="85" w:type="dxa"/>
              <w:right w:w="85" w:type="dxa"/>
            </w:tcMar>
            <w:vAlign w:val="center"/>
          </w:tcPr>
          <w:p w14:paraId="3CBD131D" w14:textId="77777777" w:rsidR="00D44157" w:rsidRPr="006D1BC4" w:rsidRDefault="00D44157" w:rsidP="005F3628">
            <w:pPr>
              <w:rPr>
                <w:sz w:val="16"/>
                <w:szCs w:val="16"/>
              </w:rPr>
            </w:pPr>
            <w:r>
              <w:rPr>
                <w:sz w:val="16"/>
                <w:szCs w:val="16"/>
              </w:rPr>
              <w:t>72</w:t>
            </w:r>
          </w:p>
        </w:tc>
        <w:tc>
          <w:tcPr>
            <w:tcW w:w="1623" w:type="dxa"/>
            <w:shd w:val="clear" w:color="auto" w:fill="FFFFFF"/>
            <w:tcMar>
              <w:left w:w="85" w:type="dxa"/>
              <w:right w:w="85" w:type="dxa"/>
            </w:tcMar>
            <w:vAlign w:val="center"/>
          </w:tcPr>
          <w:p w14:paraId="3C931674" w14:textId="77777777" w:rsidR="00D44157" w:rsidRPr="006D1BC4" w:rsidRDefault="00D44157" w:rsidP="005F3628">
            <w:pPr>
              <w:rPr>
                <w:sz w:val="16"/>
                <w:szCs w:val="16"/>
              </w:rPr>
            </w:pPr>
            <w:r>
              <w:rPr>
                <w:sz w:val="16"/>
                <w:szCs w:val="16"/>
              </w:rPr>
              <w:t>0,19</w:t>
            </w:r>
          </w:p>
        </w:tc>
        <w:tc>
          <w:tcPr>
            <w:tcW w:w="2050" w:type="dxa"/>
            <w:shd w:val="clear" w:color="auto" w:fill="FFFFFF"/>
            <w:tcMar>
              <w:left w:w="85" w:type="dxa"/>
              <w:right w:w="85" w:type="dxa"/>
            </w:tcMar>
            <w:vAlign w:val="center"/>
          </w:tcPr>
          <w:p w14:paraId="71D12E96" w14:textId="77777777" w:rsidR="00D44157" w:rsidRPr="006D1BC4" w:rsidRDefault="00D44157" w:rsidP="005F3628">
            <w:pPr>
              <w:rPr>
                <w:sz w:val="16"/>
                <w:szCs w:val="16"/>
              </w:rPr>
            </w:pPr>
            <w:r>
              <w:rPr>
                <w:sz w:val="16"/>
                <w:szCs w:val="16"/>
              </w:rPr>
              <w:t>0,260</w:t>
            </w:r>
          </w:p>
        </w:tc>
        <w:tc>
          <w:tcPr>
            <w:tcW w:w="1568" w:type="dxa"/>
            <w:shd w:val="clear" w:color="auto" w:fill="FFFFFF"/>
            <w:tcMar>
              <w:left w:w="85" w:type="dxa"/>
              <w:right w:w="85" w:type="dxa"/>
            </w:tcMar>
            <w:vAlign w:val="center"/>
          </w:tcPr>
          <w:p w14:paraId="00F53784" w14:textId="77777777" w:rsidR="00D44157" w:rsidRPr="006D1BC4" w:rsidRDefault="00D44157" w:rsidP="005F3628">
            <w:pPr>
              <w:rPr>
                <w:sz w:val="16"/>
                <w:szCs w:val="16"/>
              </w:rPr>
            </w:pPr>
            <w:r>
              <w:rPr>
                <w:sz w:val="16"/>
                <w:szCs w:val="16"/>
              </w:rPr>
              <w:t>Незначимые</w:t>
            </w:r>
          </w:p>
        </w:tc>
      </w:tr>
      <w:tr w:rsidR="00D44157" w:rsidRPr="006D1BC4" w14:paraId="01DFD251" w14:textId="77777777" w:rsidTr="005F3628">
        <w:trPr>
          <w:cantSplit/>
          <w:trHeight w:val="274"/>
        </w:trPr>
        <w:tc>
          <w:tcPr>
            <w:tcW w:w="1523" w:type="dxa"/>
            <w:vMerge/>
            <w:tcBorders>
              <w:bottom w:val="single" w:sz="4" w:space="0" w:color="auto"/>
            </w:tcBorders>
            <w:shd w:val="clear" w:color="auto" w:fill="FFFFFF"/>
            <w:tcMar>
              <w:left w:w="85" w:type="dxa"/>
              <w:right w:w="85" w:type="dxa"/>
            </w:tcMar>
            <w:vAlign w:val="center"/>
          </w:tcPr>
          <w:p w14:paraId="1D26966D" w14:textId="77777777" w:rsidR="00D44157" w:rsidRPr="006D1BC4" w:rsidRDefault="00D44157" w:rsidP="005F3628">
            <w:pPr>
              <w:rPr>
                <w:sz w:val="16"/>
                <w:szCs w:val="16"/>
              </w:rPr>
            </w:pPr>
          </w:p>
        </w:tc>
        <w:tc>
          <w:tcPr>
            <w:tcW w:w="1032" w:type="dxa"/>
            <w:tcBorders>
              <w:bottom w:val="single" w:sz="4" w:space="0" w:color="auto"/>
            </w:tcBorders>
            <w:shd w:val="clear" w:color="auto" w:fill="FFFFFF"/>
            <w:tcMar>
              <w:left w:w="85" w:type="dxa"/>
              <w:right w:w="85" w:type="dxa"/>
            </w:tcMar>
            <w:vAlign w:val="center"/>
          </w:tcPr>
          <w:p w14:paraId="6C65A0C5" w14:textId="77777777" w:rsidR="00D44157" w:rsidRPr="006D1BC4" w:rsidRDefault="00D44157" w:rsidP="005F3628">
            <w:pPr>
              <w:rPr>
                <w:sz w:val="16"/>
                <w:szCs w:val="16"/>
              </w:rPr>
            </w:pPr>
            <w:r>
              <w:rPr>
                <w:sz w:val="16"/>
                <w:szCs w:val="16"/>
              </w:rPr>
              <w:t>В4</w:t>
            </w:r>
          </w:p>
        </w:tc>
        <w:tc>
          <w:tcPr>
            <w:tcW w:w="688" w:type="dxa"/>
            <w:tcBorders>
              <w:bottom w:val="single" w:sz="4" w:space="0" w:color="auto"/>
            </w:tcBorders>
            <w:shd w:val="clear" w:color="auto" w:fill="FFFFFF"/>
            <w:tcMar>
              <w:left w:w="85" w:type="dxa"/>
              <w:right w:w="85" w:type="dxa"/>
            </w:tcMar>
            <w:vAlign w:val="center"/>
          </w:tcPr>
          <w:p w14:paraId="11D5A938" w14:textId="77777777" w:rsidR="00D44157" w:rsidRPr="006D1BC4" w:rsidRDefault="00D44157" w:rsidP="005F3628">
            <w:pPr>
              <w:rPr>
                <w:sz w:val="16"/>
                <w:szCs w:val="16"/>
              </w:rPr>
            </w:pPr>
            <w:r>
              <w:rPr>
                <w:sz w:val="16"/>
                <w:szCs w:val="16"/>
              </w:rPr>
              <w:t>96</w:t>
            </w:r>
          </w:p>
        </w:tc>
        <w:tc>
          <w:tcPr>
            <w:tcW w:w="1587" w:type="dxa"/>
            <w:tcBorders>
              <w:bottom w:val="single" w:sz="4" w:space="0" w:color="auto"/>
            </w:tcBorders>
            <w:shd w:val="clear" w:color="auto" w:fill="FFFFFF"/>
            <w:tcMar>
              <w:left w:w="85" w:type="dxa"/>
              <w:right w:w="85" w:type="dxa"/>
            </w:tcMar>
            <w:vAlign w:val="center"/>
          </w:tcPr>
          <w:p w14:paraId="4CC9825D" w14:textId="77777777" w:rsidR="00D44157" w:rsidRPr="006D1BC4" w:rsidRDefault="00D44157" w:rsidP="005F3628">
            <w:pPr>
              <w:rPr>
                <w:sz w:val="16"/>
                <w:szCs w:val="16"/>
              </w:rPr>
            </w:pPr>
            <w:r>
              <w:rPr>
                <w:sz w:val="16"/>
                <w:szCs w:val="16"/>
              </w:rPr>
              <w:t>0,03</w:t>
            </w:r>
          </w:p>
        </w:tc>
        <w:tc>
          <w:tcPr>
            <w:tcW w:w="638" w:type="dxa"/>
            <w:tcBorders>
              <w:bottom w:val="single" w:sz="4" w:space="0" w:color="auto"/>
            </w:tcBorders>
            <w:shd w:val="clear" w:color="auto" w:fill="FFFFFF"/>
            <w:tcMar>
              <w:left w:w="85" w:type="dxa"/>
              <w:right w:w="85" w:type="dxa"/>
            </w:tcMar>
            <w:vAlign w:val="center"/>
          </w:tcPr>
          <w:p w14:paraId="699B0C63" w14:textId="77777777" w:rsidR="00D44157" w:rsidRPr="006D1BC4" w:rsidRDefault="00D44157" w:rsidP="005F3628">
            <w:pPr>
              <w:rPr>
                <w:sz w:val="16"/>
                <w:szCs w:val="16"/>
              </w:rPr>
            </w:pPr>
            <w:r>
              <w:rPr>
                <w:sz w:val="16"/>
                <w:szCs w:val="16"/>
              </w:rPr>
              <w:t>72</w:t>
            </w:r>
          </w:p>
        </w:tc>
        <w:tc>
          <w:tcPr>
            <w:tcW w:w="1623" w:type="dxa"/>
            <w:tcBorders>
              <w:bottom w:val="single" w:sz="4" w:space="0" w:color="auto"/>
            </w:tcBorders>
            <w:shd w:val="clear" w:color="auto" w:fill="FFFFFF"/>
            <w:tcMar>
              <w:left w:w="85" w:type="dxa"/>
              <w:right w:w="85" w:type="dxa"/>
            </w:tcMar>
            <w:vAlign w:val="center"/>
          </w:tcPr>
          <w:p w14:paraId="7C3733AA" w14:textId="77777777" w:rsidR="00D44157" w:rsidRPr="006D1BC4" w:rsidRDefault="00D44157" w:rsidP="005F3628">
            <w:pPr>
              <w:rPr>
                <w:sz w:val="16"/>
                <w:szCs w:val="16"/>
              </w:rPr>
            </w:pPr>
            <w:r>
              <w:rPr>
                <w:sz w:val="16"/>
                <w:szCs w:val="16"/>
              </w:rPr>
              <w:t>0,00</w:t>
            </w:r>
          </w:p>
        </w:tc>
        <w:tc>
          <w:tcPr>
            <w:tcW w:w="2050" w:type="dxa"/>
            <w:tcBorders>
              <w:bottom w:val="single" w:sz="4" w:space="0" w:color="auto"/>
            </w:tcBorders>
            <w:shd w:val="clear" w:color="auto" w:fill="FFFFFF"/>
            <w:tcMar>
              <w:left w:w="85" w:type="dxa"/>
              <w:right w:w="85" w:type="dxa"/>
            </w:tcMar>
            <w:vAlign w:val="center"/>
          </w:tcPr>
          <w:p w14:paraId="6CC5EAB4" w14:textId="77777777" w:rsidR="00D44157" w:rsidRPr="006D1BC4" w:rsidRDefault="00D44157" w:rsidP="005F3628">
            <w:pPr>
              <w:rPr>
                <w:sz w:val="16"/>
                <w:szCs w:val="16"/>
              </w:rPr>
            </w:pPr>
            <w:r>
              <w:rPr>
                <w:sz w:val="16"/>
                <w:szCs w:val="16"/>
              </w:rPr>
              <w:t>0,219</w:t>
            </w:r>
          </w:p>
        </w:tc>
        <w:tc>
          <w:tcPr>
            <w:tcW w:w="1568" w:type="dxa"/>
            <w:tcBorders>
              <w:bottom w:val="single" w:sz="4" w:space="0" w:color="auto"/>
            </w:tcBorders>
            <w:shd w:val="clear" w:color="auto" w:fill="FFFFFF"/>
            <w:tcMar>
              <w:left w:w="85" w:type="dxa"/>
              <w:right w:w="85" w:type="dxa"/>
            </w:tcMar>
            <w:vAlign w:val="center"/>
          </w:tcPr>
          <w:p w14:paraId="7FC9F598" w14:textId="77777777" w:rsidR="00D44157" w:rsidRPr="006D1BC4" w:rsidRDefault="00D44157" w:rsidP="005F3628">
            <w:pPr>
              <w:rPr>
                <w:sz w:val="16"/>
                <w:szCs w:val="16"/>
              </w:rPr>
            </w:pPr>
            <w:r>
              <w:rPr>
                <w:sz w:val="16"/>
                <w:szCs w:val="16"/>
              </w:rPr>
              <w:t>Незначимые</w:t>
            </w:r>
          </w:p>
        </w:tc>
      </w:tr>
    </w:tbl>
    <w:p w14:paraId="029417EA" w14:textId="77777777" w:rsidR="00D44157" w:rsidRPr="006D1BC4" w:rsidRDefault="00D44157" w:rsidP="00D44157">
      <w:pPr>
        <w:ind w:left="142"/>
        <w:rPr>
          <w:sz w:val="16"/>
          <w:szCs w:val="22"/>
        </w:rPr>
      </w:pPr>
      <w:bookmarkStart w:id="2" w:name="bookmark11"/>
      <w:r>
        <w:rPr>
          <w:sz w:val="16"/>
          <w:szCs w:val="22"/>
          <w:vertAlign w:val="superscript"/>
        </w:rPr>
        <w:t>а</w:t>
      </w:r>
      <w:r>
        <w:rPr>
          <w:sz w:val="16"/>
          <w:szCs w:val="22"/>
        </w:rPr>
        <w:t xml:space="preserve"> Вывод сделан при уровне значимости 0,05.</w:t>
      </w:r>
      <w:bookmarkEnd w:id="2"/>
    </w:p>
    <w:p w14:paraId="50588C49" w14:textId="77777777" w:rsidR="00D44157" w:rsidRDefault="00D44157" w:rsidP="00EB50F8">
      <w:pPr>
        <w:ind w:firstLine="284"/>
        <w:sectPr w:rsidR="00D44157" w:rsidSect="00D44157">
          <w:type w:val="continuous"/>
          <w:pgSz w:w="12240" w:h="16834"/>
          <w:pgMar w:top="993" w:right="680" w:bottom="1135" w:left="851" w:header="567" w:footer="567" w:gutter="0"/>
          <w:cols w:space="347"/>
          <w:noEndnote/>
          <w:docGrid w:linePitch="360"/>
        </w:sectPr>
      </w:pPr>
    </w:p>
    <w:p w14:paraId="30D4DB2A" w14:textId="77777777" w:rsidR="00D44157" w:rsidRPr="006D1BC4" w:rsidRDefault="00D44157" w:rsidP="00D44157">
      <w:pPr>
        <w:rPr>
          <w:b/>
          <w:bCs/>
        </w:rPr>
      </w:pPr>
      <w:r>
        <w:rPr>
          <w:b/>
          <w:bCs/>
        </w:rPr>
        <w:lastRenderedPageBreak/>
        <w:t>Таблица 3</w:t>
      </w:r>
    </w:p>
    <w:p w14:paraId="70E8A269" w14:textId="77777777" w:rsidR="00D44157" w:rsidRPr="006D1BC4" w:rsidRDefault="00D44157" w:rsidP="00D44157">
      <w:r>
        <w:t>Выраженность основных симптомов в баллах в процессе лечения, оценивающихся врачом у пациентов с поствирусным РС.</w:t>
      </w:r>
    </w:p>
    <w:tbl>
      <w:tblPr>
        <w:tblOverlap w:val="never"/>
        <w:tblW w:w="0" w:type="auto"/>
        <w:tblLayout w:type="fixed"/>
        <w:tblCellMar>
          <w:left w:w="10" w:type="dxa"/>
          <w:right w:w="10" w:type="dxa"/>
        </w:tblCellMar>
        <w:tblLook w:val="04A0" w:firstRow="1" w:lastRow="0" w:firstColumn="1" w:lastColumn="0" w:noHBand="0" w:noVBand="1"/>
      </w:tblPr>
      <w:tblGrid>
        <w:gridCol w:w="1575"/>
        <w:gridCol w:w="807"/>
        <w:gridCol w:w="698"/>
        <w:gridCol w:w="1623"/>
        <w:gridCol w:w="666"/>
        <w:gridCol w:w="1671"/>
        <w:gridCol w:w="2110"/>
        <w:gridCol w:w="1559"/>
      </w:tblGrid>
      <w:tr w:rsidR="00D44157" w:rsidRPr="006D1BC4" w14:paraId="5F0C66D2" w14:textId="77777777" w:rsidTr="005F3628">
        <w:trPr>
          <w:cantSplit/>
          <w:trHeight w:val="341"/>
        </w:trPr>
        <w:tc>
          <w:tcPr>
            <w:tcW w:w="1575" w:type="dxa"/>
            <w:vMerge w:val="restart"/>
            <w:tcBorders>
              <w:top w:val="single" w:sz="4" w:space="0" w:color="auto"/>
            </w:tcBorders>
            <w:shd w:val="clear" w:color="auto" w:fill="FFFFFF"/>
            <w:tcMar>
              <w:left w:w="85" w:type="dxa"/>
              <w:right w:w="85" w:type="dxa"/>
            </w:tcMar>
          </w:tcPr>
          <w:p w14:paraId="27AB9347" w14:textId="77777777" w:rsidR="00D44157" w:rsidRPr="006D1BC4" w:rsidRDefault="00D44157" w:rsidP="005F3628">
            <w:pPr>
              <w:spacing w:before="60"/>
              <w:rPr>
                <w:sz w:val="16"/>
                <w:szCs w:val="16"/>
              </w:rPr>
            </w:pPr>
            <w:r>
              <w:rPr>
                <w:sz w:val="16"/>
                <w:szCs w:val="16"/>
              </w:rPr>
              <w:t>Параметр</w:t>
            </w:r>
          </w:p>
        </w:tc>
        <w:tc>
          <w:tcPr>
            <w:tcW w:w="807" w:type="dxa"/>
            <w:vMerge w:val="restart"/>
            <w:tcBorders>
              <w:top w:val="single" w:sz="4" w:space="0" w:color="auto"/>
            </w:tcBorders>
            <w:shd w:val="clear" w:color="auto" w:fill="FFFFFF"/>
            <w:tcMar>
              <w:left w:w="85" w:type="dxa"/>
              <w:right w:w="85" w:type="dxa"/>
            </w:tcMar>
          </w:tcPr>
          <w:p w14:paraId="7C3DCB74" w14:textId="77777777" w:rsidR="00D44157" w:rsidRPr="006D1BC4" w:rsidRDefault="00D44157" w:rsidP="005F3628">
            <w:pPr>
              <w:spacing w:before="60"/>
              <w:rPr>
                <w:sz w:val="16"/>
                <w:szCs w:val="16"/>
              </w:rPr>
            </w:pPr>
            <w:r>
              <w:rPr>
                <w:sz w:val="16"/>
                <w:szCs w:val="16"/>
              </w:rPr>
              <w:t>Визит</w:t>
            </w:r>
          </w:p>
        </w:tc>
        <w:tc>
          <w:tcPr>
            <w:tcW w:w="2321" w:type="dxa"/>
            <w:gridSpan w:val="2"/>
            <w:tcBorders>
              <w:top w:val="single" w:sz="4" w:space="0" w:color="auto"/>
            </w:tcBorders>
            <w:shd w:val="clear" w:color="auto" w:fill="FFFFFF"/>
            <w:tcMar>
              <w:left w:w="85" w:type="dxa"/>
              <w:right w:w="85" w:type="dxa"/>
            </w:tcMar>
          </w:tcPr>
          <w:p w14:paraId="69B317FA" w14:textId="77777777" w:rsidR="00D44157" w:rsidRPr="006D1BC4" w:rsidRDefault="00D44157" w:rsidP="005F3628">
            <w:pPr>
              <w:spacing w:before="60"/>
              <w:rPr>
                <w:sz w:val="16"/>
                <w:szCs w:val="16"/>
              </w:rPr>
            </w:pPr>
            <w:r>
              <w:rPr>
                <w:sz w:val="16"/>
                <w:szCs w:val="16"/>
              </w:rPr>
              <w:t>Основная группа</w:t>
            </w:r>
          </w:p>
        </w:tc>
        <w:tc>
          <w:tcPr>
            <w:tcW w:w="2337" w:type="dxa"/>
            <w:gridSpan w:val="2"/>
            <w:tcBorders>
              <w:top w:val="single" w:sz="4" w:space="0" w:color="auto"/>
            </w:tcBorders>
            <w:shd w:val="clear" w:color="auto" w:fill="FFFFFF"/>
            <w:tcMar>
              <w:left w:w="85" w:type="dxa"/>
              <w:right w:w="85" w:type="dxa"/>
            </w:tcMar>
          </w:tcPr>
          <w:p w14:paraId="16ABAEF6" w14:textId="77777777" w:rsidR="00D44157" w:rsidRPr="006D1BC4" w:rsidRDefault="00D44157" w:rsidP="005F3628">
            <w:pPr>
              <w:spacing w:before="60"/>
              <w:rPr>
                <w:sz w:val="16"/>
                <w:szCs w:val="16"/>
              </w:rPr>
            </w:pPr>
            <w:r>
              <w:rPr>
                <w:sz w:val="16"/>
                <w:szCs w:val="16"/>
              </w:rPr>
              <w:t>Контрольная группа</w:t>
            </w:r>
          </w:p>
        </w:tc>
        <w:tc>
          <w:tcPr>
            <w:tcW w:w="2110" w:type="dxa"/>
            <w:vMerge w:val="restart"/>
            <w:tcBorders>
              <w:top w:val="single" w:sz="4" w:space="0" w:color="auto"/>
            </w:tcBorders>
            <w:shd w:val="clear" w:color="auto" w:fill="FFFFFF"/>
            <w:tcMar>
              <w:left w:w="85" w:type="dxa"/>
              <w:right w:w="85" w:type="dxa"/>
            </w:tcMar>
          </w:tcPr>
          <w:p w14:paraId="5363BE60" w14:textId="77777777" w:rsidR="00D44157" w:rsidRPr="006D1BC4" w:rsidRDefault="00D44157" w:rsidP="005F3628">
            <w:pPr>
              <w:spacing w:before="60"/>
              <w:rPr>
                <w:sz w:val="16"/>
                <w:szCs w:val="16"/>
              </w:rPr>
            </w:pPr>
            <w:r>
              <w:rPr>
                <w:sz w:val="16"/>
                <w:szCs w:val="16"/>
              </w:rPr>
              <w:t>p-значение (двухстороннее)/T1-T4</w:t>
            </w:r>
          </w:p>
        </w:tc>
        <w:tc>
          <w:tcPr>
            <w:tcW w:w="1559" w:type="dxa"/>
            <w:vMerge w:val="restart"/>
            <w:tcBorders>
              <w:top w:val="single" w:sz="4" w:space="0" w:color="auto"/>
            </w:tcBorders>
            <w:shd w:val="clear" w:color="auto" w:fill="FFFFFF"/>
            <w:tcMar>
              <w:left w:w="85" w:type="dxa"/>
              <w:right w:w="85" w:type="dxa"/>
            </w:tcMar>
          </w:tcPr>
          <w:p w14:paraId="348B4CC1" w14:textId="77777777" w:rsidR="00D44157" w:rsidRPr="006D1BC4" w:rsidRDefault="00D44157" w:rsidP="005F3628">
            <w:pPr>
              <w:spacing w:before="60"/>
              <w:rPr>
                <w:sz w:val="16"/>
                <w:szCs w:val="16"/>
              </w:rPr>
            </w:pPr>
            <w:r>
              <w:rPr>
                <w:sz w:val="16"/>
                <w:szCs w:val="16"/>
              </w:rPr>
              <w:t>Значимые различия*</w:t>
            </w:r>
          </w:p>
        </w:tc>
      </w:tr>
      <w:tr w:rsidR="00D44157" w:rsidRPr="006D1BC4" w14:paraId="51C65757" w14:textId="77777777" w:rsidTr="005F3628">
        <w:trPr>
          <w:cantSplit/>
          <w:trHeight w:val="332"/>
        </w:trPr>
        <w:tc>
          <w:tcPr>
            <w:tcW w:w="1575" w:type="dxa"/>
            <w:vMerge/>
            <w:shd w:val="clear" w:color="auto" w:fill="FFFFFF"/>
            <w:tcMar>
              <w:left w:w="85" w:type="dxa"/>
              <w:right w:w="85" w:type="dxa"/>
            </w:tcMar>
          </w:tcPr>
          <w:p w14:paraId="79D176E7" w14:textId="77777777" w:rsidR="00D44157" w:rsidRPr="006D1BC4" w:rsidRDefault="00D44157" w:rsidP="005F3628">
            <w:pPr>
              <w:rPr>
                <w:sz w:val="16"/>
                <w:szCs w:val="16"/>
              </w:rPr>
            </w:pPr>
          </w:p>
        </w:tc>
        <w:tc>
          <w:tcPr>
            <w:tcW w:w="807" w:type="dxa"/>
            <w:vMerge/>
            <w:shd w:val="clear" w:color="auto" w:fill="FFFFFF"/>
            <w:tcMar>
              <w:left w:w="85" w:type="dxa"/>
              <w:right w:w="85" w:type="dxa"/>
            </w:tcMar>
          </w:tcPr>
          <w:p w14:paraId="73CB7C58" w14:textId="77777777" w:rsidR="00D44157" w:rsidRPr="006D1BC4" w:rsidRDefault="00D44157" w:rsidP="005F3628">
            <w:pPr>
              <w:rPr>
                <w:sz w:val="16"/>
                <w:szCs w:val="16"/>
              </w:rPr>
            </w:pPr>
          </w:p>
        </w:tc>
        <w:tc>
          <w:tcPr>
            <w:tcW w:w="698" w:type="dxa"/>
            <w:tcBorders>
              <w:top w:val="single" w:sz="4" w:space="0" w:color="auto"/>
            </w:tcBorders>
            <w:shd w:val="clear" w:color="auto" w:fill="FFFFFF"/>
            <w:tcMar>
              <w:left w:w="85" w:type="dxa"/>
              <w:right w:w="85" w:type="dxa"/>
            </w:tcMar>
            <w:vAlign w:val="center"/>
          </w:tcPr>
          <w:p w14:paraId="606E22B2" w14:textId="77777777" w:rsidR="00D44157" w:rsidRPr="006D1BC4" w:rsidRDefault="00D44157" w:rsidP="005F3628">
            <w:pPr>
              <w:jc w:val="left"/>
              <w:rPr>
                <w:sz w:val="16"/>
                <w:szCs w:val="16"/>
              </w:rPr>
            </w:pPr>
            <w:r>
              <w:rPr>
                <w:sz w:val="16"/>
                <w:szCs w:val="16"/>
              </w:rPr>
              <w:t>n</w:t>
            </w:r>
          </w:p>
        </w:tc>
        <w:tc>
          <w:tcPr>
            <w:tcW w:w="1623" w:type="dxa"/>
            <w:tcBorders>
              <w:top w:val="single" w:sz="4" w:space="0" w:color="auto"/>
            </w:tcBorders>
            <w:shd w:val="clear" w:color="auto" w:fill="FFFFFF"/>
            <w:tcMar>
              <w:left w:w="85" w:type="dxa"/>
              <w:right w:w="85" w:type="dxa"/>
            </w:tcMar>
            <w:vAlign w:val="center"/>
          </w:tcPr>
          <w:p w14:paraId="7C35E1B3" w14:textId="77777777" w:rsidR="00D44157" w:rsidRPr="006D1BC4" w:rsidRDefault="00D44157" w:rsidP="005F3628">
            <w:pPr>
              <w:jc w:val="left"/>
              <w:rPr>
                <w:sz w:val="16"/>
                <w:szCs w:val="16"/>
              </w:rPr>
            </w:pPr>
            <w:r>
              <w:rPr>
                <w:sz w:val="16"/>
                <w:szCs w:val="16"/>
              </w:rPr>
              <w:t>Среднее арифметическое</w:t>
            </w:r>
          </w:p>
        </w:tc>
        <w:tc>
          <w:tcPr>
            <w:tcW w:w="666" w:type="dxa"/>
            <w:tcBorders>
              <w:top w:val="single" w:sz="4" w:space="0" w:color="auto"/>
            </w:tcBorders>
            <w:shd w:val="clear" w:color="auto" w:fill="FFFFFF"/>
            <w:tcMar>
              <w:left w:w="85" w:type="dxa"/>
              <w:right w:w="85" w:type="dxa"/>
            </w:tcMar>
            <w:vAlign w:val="center"/>
          </w:tcPr>
          <w:p w14:paraId="3A208477" w14:textId="77777777" w:rsidR="00D44157" w:rsidRPr="006D1BC4" w:rsidRDefault="00D44157" w:rsidP="005F3628">
            <w:pPr>
              <w:jc w:val="left"/>
              <w:rPr>
                <w:sz w:val="16"/>
                <w:szCs w:val="16"/>
              </w:rPr>
            </w:pPr>
            <w:r>
              <w:rPr>
                <w:sz w:val="16"/>
                <w:szCs w:val="16"/>
              </w:rPr>
              <w:t>n</w:t>
            </w:r>
          </w:p>
        </w:tc>
        <w:tc>
          <w:tcPr>
            <w:tcW w:w="1671" w:type="dxa"/>
            <w:tcBorders>
              <w:top w:val="single" w:sz="4" w:space="0" w:color="auto"/>
            </w:tcBorders>
            <w:shd w:val="clear" w:color="auto" w:fill="FFFFFF"/>
            <w:tcMar>
              <w:left w:w="85" w:type="dxa"/>
              <w:right w:w="85" w:type="dxa"/>
            </w:tcMar>
            <w:vAlign w:val="center"/>
          </w:tcPr>
          <w:p w14:paraId="0C86AD90" w14:textId="77777777" w:rsidR="00D44157" w:rsidRPr="006D1BC4" w:rsidRDefault="00D44157" w:rsidP="005F3628">
            <w:pPr>
              <w:jc w:val="left"/>
              <w:rPr>
                <w:sz w:val="16"/>
                <w:szCs w:val="16"/>
              </w:rPr>
            </w:pPr>
            <w:r>
              <w:rPr>
                <w:sz w:val="16"/>
                <w:szCs w:val="16"/>
              </w:rPr>
              <w:t>Среднее арифметическое</w:t>
            </w:r>
          </w:p>
        </w:tc>
        <w:tc>
          <w:tcPr>
            <w:tcW w:w="2110" w:type="dxa"/>
            <w:vMerge/>
            <w:shd w:val="clear" w:color="auto" w:fill="FFFFFF"/>
            <w:tcMar>
              <w:left w:w="85" w:type="dxa"/>
              <w:right w:w="85" w:type="dxa"/>
            </w:tcMar>
          </w:tcPr>
          <w:p w14:paraId="25BD291B" w14:textId="77777777" w:rsidR="00D44157" w:rsidRPr="006D1BC4" w:rsidRDefault="00D44157" w:rsidP="005F3628">
            <w:pPr>
              <w:rPr>
                <w:sz w:val="16"/>
                <w:szCs w:val="16"/>
              </w:rPr>
            </w:pPr>
          </w:p>
        </w:tc>
        <w:tc>
          <w:tcPr>
            <w:tcW w:w="1559" w:type="dxa"/>
            <w:vMerge/>
            <w:shd w:val="clear" w:color="auto" w:fill="FFFFFF"/>
            <w:tcMar>
              <w:left w:w="85" w:type="dxa"/>
              <w:right w:w="85" w:type="dxa"/>
            </w:tcMar>
          </w:tcPr>
          <w:p w14:paraId="64DEC8B3" w14:textId="77777777" w:rsidR="00D44157" w:rsidRPr="006D1BC4" w:rsidRDefault="00D44157" w:rsidP="005F3628">
            <w:pPr>
              <w:rPr>
                <w:sz w:val="16"/>
                <w:szCs w:val="16"/>
              </w:rPr>
            </w:pPr>
          </w:p>
        </w:tc>
      </w:tr>
      <w:tr w:rsidR="00D44157" w:rsidRPr="006D1BC4" w14:paraId="37B8F0C3" w14:textId="77777777" w:rsidTr="005F3628">
        <w:trPr>
          <w:cantSplit/>
          <w:trHeight w:val="257"/>
        </w:trPr>
        <w:tc>
          <w:tcPr>
            <w:tcW w:w="1575" w:type="dxa"/>
            <w:vMerge w:val="restart"/>
            <w:tcBorders>
              <w:top w:val="single" w:sz="4" w:space="0" w:color="auto"/>
            </w:tcBorders>
            <w:shd w:val="clear" w:color="auto" w:fill="FFFFFF"/>
            <w:tcMar>
              <w:left w:w="85" w:type="dxa"/>
              <w:right w:w="85" w:type="dxa"/>
            </w:tcMar>
          </w:tcPr>
          <w:p w14:paraId="4111760E" w14:textId="77777777" w:rsidR="00D44157" w:rsidRPr="006D1BC4" w:rsidRDefault="00D44157" w:rsidP="005F3628">
            <w:pPr>
              <w:rPr>
                <w:sz w:val="16"/>
                <w:szCs w:val="16"/>
              </w:rPr>
            </w:pPr>
            <w:r>
              <w:rPr>
                <w:sz w:val="16"/>
                <w:szCs w:val="16"/>
              </w:rPr>
              <w:t>Ринорея</w:t>
            </w:r>
          </w:p>
        </w:tc>
        <w:tc>
          <w:tcPr>
            <w:tcW w:w="807" w:type="dxa"/>
            <w:tcBorders>
              <w:top w:val="single" w:sz="4" w:space="0" w:color="auto"/>
            </w:tcBorders>
            <w:shd w:val="clear" w:color="auto" w:fill="FFFFFF"/>
            <w:tcMar>
              <w:left w:w="85" w:type="dxa"/>
              <w:right w:w="85" w:type="dxa"/>
            </w:tcMar>
          </w:tcPr>
          <w:p w14:paraId="55EABB92" w14:textId="77777777" w:rsidR="00D44157" w:rsidRPr="006D1BC4" w:rsidRDefault="00D44157" w:rsidP="005F3628">
            <w:pPr>
              <w:rPr>
                <w:sz w:val="16"/>
                <w:szCs w:val="16"/>
              </w:rPr>
            </w:pPr>
            <w:r>
              <w:rPr>
                <w:sz w:val="16"/>
                <w:szCs w:val="16"/>
              </w:rPr>
              <w:t>В1</w:t>
            </w:r>
          </w:p>
        </w:tc>
        <w:tc>
          <w:tcPr>
            <w:tcW w:w="698" w:type="dxa"/>
            <w:tcBorders>
              <w:top w:val="single" w:sz="4" w:space="0" w:color="auto"/>
            </w:tcBorders>
            <w:shd w:val="clear" w:color="auto" w:fill="FFFFFF"/>
            <w:tcMar>
              <w:left w:w="85" w:type="dxa"/>
              <w:right w:w="85" w:type="dxa"/>
            </w:tcMar>
          </w:tcPr>
          <w:p w14:paraId="292AAAA1" w14:textId="77777777" w:rsidR="00D44157" w:rsidRPr="006D1BC4" w:rsidRDefault="00D44157" w:rsidP="005F3628">
            <w:pPr>
              <w:rPr>
                <w:sz w:val="16"/>
                <w:szCs w:val="16"/>
              </w:rPr>
            </w:pPr>
            <w:r>
              <w:rPr>
                <w:sz w:val="16"/>
                <w:szCs w:val="16"/>
              </w:rPr>
              <w:t>64</w:t>
            </w:r>
          </w:p>
        </w:tc>
        <w:tc>
          <w:tcPr>
            <w:tcW w:w="1623" w:type="dxa"/>
            <w:tcBorders>
              <w:top w:val="single" w:sz="4" w:space="0" w:color="auto"/>
            </w:tcBorders>
            <w:shd w:val="clear" w:color="auto" w:fill="FFFFFF"/>
            <w:tcMar>
              <w:left w:w="85" w:type="dxa"/>
              <w:right w:w="85" w:type="dxa"/>
            </w:tcMar>
          </w:tcPr>
          <w:p w14:paraId="64E0AD1D" w14:textId="77777777" w:rsidR="00D44157" w:rsidRPr="006D1BC4" w:rsidRDefault="00D44157" w:rsidP="005F3628">
            <w:pPr>
              <w:rPr>
                <w:sz w:val="16"/>
                <w:szCs w:val="16"/>
              </w:rPr>
            </w:pPr>
            <w:r>
              <w:rPr>
                <w:sz w:val="16"/>
                <w:szCs w:val="16"/>
              </w:rPr>
              <w:t>3,88</w:t>
            </w:r>
          </w:p>
        </w:tc>
        <w:tc>
          <w:tcPr>
            <w:tcW w:w="666" w:type="dxa"/>
            <w:tcBorders>
              <w:top w:val="single" w:sz="4" w:space="0" w:color="auto"/>
            </w:tcBorders>
            <w:shd w:val="clear" w:color="auto" w:fill="FFFFFF"/>
            <w:tcMar>
              <w:left w:w="85" w:type="dxa"/>
              <w:right w:w="85" w:type="dxa"/>
            </w:tcMar>
          </w:tcPr>
          <w:p w14:paraId="1A5E2E71" w14:textId="77777777" w:rsidR="00D44157" w:rsidRPr="006D1BC4" w:rsidRDefault="00D44157" w:rsidP="005F3628">
            <w:pPr>
              <w:rPr>
                <w:sz w:val="16"/>
                <w:szCs w:val="16"/>
              </w:rPr>
            </w:pPr>
            <w:r>
              <w:rPr>
                <w:sz w:val="16"/>
                <w:szCs w:val="16"/>
              </w:rPr>
              <w:t>55</w:t>
            </w:r>
          </w:p>
        </w:tc>
        <w:tc>
          <w:tcPr>
            <w:tcW w:w="1671" w:type="dxa"/>
            <w:tcBorders>
              <w:top w:val="single" w:sz="4" w:space="0" w:color="auto"/>
            </w:tcBorders>
            <w:shd w:val="clear" w:color="auto" w:fill="FFFFFF"/>
            <w:tcMar>
              <w:left w:w="85" w:type="dxa"/>
              <w:right w:w="85" w:type="dxa"/>
            </w:tcMar>
          </w:tcPr>
          <w:p w14:paraId="2A287706" w14:textId="77777777" w:rsidR="00D44157" w:rsidRPr="006D1BC4" w:rsidRDefault="00D44157" w:rsidP="005F3628">
            <w:pPr>
              <w:rPr>
                <w:sz w:val="16"/>
                <w:szCs w:val="16"/>
              </w:rPr>
            </w:pPr>
            <w:r>
              <w:rPr>
                <w:sz w:val="16"/>
                <w:szCs w:val="16"/>
              </w:rPr>
              <w:t>3,87</w:t>
            </w:r>
          </w:p>
        </w:tc>
        <w:tc>
          <w:tcPr>
            <w:tcW w:w="2110" w:type="dxa"/>
            <w:tcBorders>
              <w:top w:val="single" w:sz="4" w:space="0" w:color="auto"/>
            </w:tcBorders>
            <w:shd w:val="clear" w:color="auto" w:fill="FFFFFF"/>
            <w:tcMar>
              <w:left w:w="85" w:type="dxa"/>
              <w:right w:w="85" w:type="dxa"/>
            </w:tcMar>
          </w:tcPr>
          <w:p w14:paraId="6D6AF014" w14:textId="77777777" w:rsidR="00D44157" w:rsidRPr="006D1BC4" w:rsidRDefault="00D44157" w:rsidP="005F3628">
            <w:pPr>
              <w:rPr>
                <w:sz w:val="16"/>
                <w:szCs w:val="16"/>
              </w:rPr>
            </w:pPr>
            <w:r>
              <w:rPr>
                <w:sz w:val="16"/>
                <w:szCs w:val="16"/>
              </w:rPr>
              <w:t>0,970</w:t>
            </w:r>
          </w:p>
        </w:tc>
        <w:tc>
          <w:tcPr>
            <w:tcW w:w="1559" w:type="dxa"/>
            <w:tcBorders>
              <w:top w:val="single" w:sz="4" w:space="0" w:color="auto"/>
            </w:tcBorders>
            <w:shd w:val="clear" w:color="auto" w:fill="FFFFFF"/>
            <w:tcMar>
              <w:left w:w="85" w:type="dxa"/>
              <w:right w:w="85" w:type="dxa"/>
            </w:tcMar>
          </w:tcPr>
          <w:p w14:paraId="3A89135F" w14:textId="77777777" w:rsidR="00D44157" w:rsidRPr="006D1BC4" w:rsidRDefault="00D44157" w:rsidP="005F3628">
            <w:pPr>
              <w:rPr>
                <w:sz w:val="16"/>
                <w:szCs w:val="16"/>
              </w:rPr>
            </w:pPr>
            <w:r>
              <w:rPr>
                <w:sz w:val="16"/>
                <w:szCs w:val="16"/>
              </w:rPr>
              <w:t>Незначимые</w:t>
            </w:r>
          </w:p>
        </w:tc>
      </w:tr>
      <w:tr w:rsidR="00D44157" w:rsidRPr="006D1BC4" w14:paraId="289DA9E7" w14:textId="77777777" w:rsidTr="005F3628">
        <w:trPr>
          <w:cantSplit/>
          <w:trHeight w:val="178"/>
        </w:trPr>
        <w:tc>
          <w:tcPr>
            <w:tcW w:w="1575" w:type="dxa"/>
            <w:vMerge/>
            <w:shd w:val="clear" w:color="auto" w:fill="FFFFFF"/>
            <w:tcMar>
              <w:left w:w="85" w:type="dxa"/>
              <w:right w:w="85" w:type="dxa"/>
            </w:tcMar>
          </w:tcPr>
          <w:p w14:paraId="4CF94D18" w14:textId="77777777" w:rsidR="00D44157" w:rsidRPr="006D1BC4" w:rsidRDefault="00D44157" w:rsidP="005F3628">
            <w:pPr>
              <w:rPr>
                <w:sz w:val="16"/>
                <w:szCs w:val="16"/>
              </w:rPr>
            </w:pPr>
          </w:p>
        </w:tc>
        <w:tc>
          <w:tcPr>
            <w:tcW w:w="807" w:type="dxa"/>
            <w:shd w:val="clear" w:color="auto" w:fill="FFFFFF"/>
            <w:tcMar>
              <w:left w:w="85" w:type="dxa"/>
              <w:right w:w="85" w:type="dxa"/>
            </w:tcMar>
          </w:tcPr>
          <w:p w14:paraId="130F6CE9" w14:textId="77777777" w:rsidR="00D44157" w:rsidRPr="006D1BC4" w:rsidRDefault="00D44157" w:rsidP="005F3628">
            <w:pPr>
              <w:rPr>
                <w:sz w:val="16"/>
                <w:szCs w:val="16"/>
              </w:rPr>
            </w:pPr>
            <w:r>
              <w:rPr>
                <w:sz w:val="16"/>
                <w:szCs w:val="16"/>
              </w:rPr>
              <w:t>В2</w:t>
            </w:r>
          </w:p>
        </w:tc>
        <w:tc>
          <w:tcPr>
            <w:tcW w:w="698" w:type="dxa"/>
            <w:shd w:val="clear" w:color="auto" w:fill="FFFFFF"/>
            <w:tcMar>
              <w:left w:w="85" w:type="dxa"/>
              <w:right w:w="85" w:type="dxa"/>
            </w:tcMar>
          </w:tcPr>
          <w:p w14:paraId="51D1DC4B" w14:textId="77777777" w:rsidR="00D44157" w:rsidRPr="006D1BC4" w:rsidRDefault="00D44157" w:rsidP="005F3628">
            <w:pPr>
              <w:rPr>
                <w:sz w:val="16"/>
                <w:szCs w:val="16"/>
              </w:rPr>
            </w:pPr>
            <w:r>
              <w:rPr>
                <w:sz w:val="16"/>
                <w:szCs w:val="16"/>
              </w:rPr>
              <w:t>63</w:t>
            </w:r>
          </w:p>
        </w:tc>
        <w:tc>
          <w:tcPr>
            <w:tcW w:w="1623" w:type="dxa"/>
            <w:shd w:val="clear" w:color="auto" w:fill="FFFFFF"/>
            <w:tcMar>
              <w:left w:w="85" w:type="dxa"/>
              <w:right w:w="85" w:type="dxa"/>
            </w:tcMar>
          </w:tcPr>
          <w:p w14:paraId="7AFD052E" w14:textId="77777777" w:rsidR="00D44157" w:rsidRPr="006D1BC4" w:rsidRDefault="00D44157" w:rsidP="005F3628">
            <w:pPr>
              <w:rPr>
                <w:sz w:val="16"/>
                <w:szCs w:val="16"/>
              </w:rPr>
            </w:pPr>
            <w:r>
              <w:rPr>
                <w:sz w:val="16"/>
                <w:szCs w:val="16"/>
              </w:rPr>
              <w:t>1,49</w:t>
            </w:r>
          </w:p>
        </w:tc>
        <w:tc>
          <w:tcPr>
            <w:tcW w:w="666" w:type="dxa"/>
            <w:shd w:val="clear" w:color="auto" w:fill="FFFFFF"/>
            <w:tcMar>
              <w:left w:w="85" w:type="dxa"/>
              <w:right w:w="85" w:type="dxa"/>
            </w:tcMar>
          </w:tcPr>
          <w:p w14:paraId="57BCB10B" w14:textId="77777777" w:rsidR="00D44157" w:rsidRPr="006D1BC4" w:rsidRDefault="00D44157" w:rsidP="005F3628">
            <w:pPr>
              <w:rPr>
                <w:sz w:val="16"/>
                <w:szCs w:val="16"/>
              </w:rPr>
            </w:pPr>
            <w:r>
              <w:rPr>
                <w:sz w:val="16"/>
                <w:szCs w:val="16"/>
              </w:rPr>
              <w:t>55</w:t>
            </w:r>
          </w:p>
        </w:tc>
        <w:tc>
          <w:tcPr>
            <w:tcW w:w="1671" w:type="dxa"/>
            <w:shd w:val="clear" w:color="auto" w:fill="FFFFFF"/>
            <w:tcMar>
              <w:left w:w="85" w:type="dxa"/>
              <w:right w:w="85" w:type="dxa"/>
            </w:tcMar>
          </w:tcPr>
          <w:p w14:paraId="7CE0CC3B" w14:textId="77777777" w:rsidR="00D44157" w:rsidRPr="006D1BC4" w:rsidRDefault="00D44157" w:rsidP="005F3628">
            <w:pPr>
              <w:rPr>
                <w:sz w:val="16"/>
                <w:szCs w:val="16"/>
              </w:rPr>
            </w:pPr>
            <w:r>
              <w:rPr>
                <w:sz w:val="16"/>
                <w:szCs w:val="16"/>
              </w:rPr>
              <w:t>2,29</w:t>
            </w:r>
          </w:p>
        </w:tc>
        <w:tc>
          <w:tcPr>
            <w:tcW w:w="2110" w:type="dxa"/>
            <w:shd w:val="clear" w:color="auto" w:fill="FFFFFF"/>
            <w:tcMar>
              <w:left w:w="85" w:type="dxa"/>
              <w:right w:w="85" w:type="dxa"/>
            </w:tcMar>
          </w:tcPr>
          <w:p w14:paraId="57080073" w14:textId="77777777" w:rsidR="00D44157" w:rsidRPr="006D1BC4" w:rsidRDefault="00D44157" w:rsidP="005F3628">
            <w:pPr>
              <w:rPr>
                <w:sz w:val="16"/>
                <w:szCs w:val="16"/>
              </w:rPr>
            </w:pPr>
            <w:r>
              <w:rPr>
                <w:sz w:val="16"/>
                <w:szCs w:val="16"/>
              </w:rPr>
              <w:t>0,000</w:t>
            </w:r>
          </w:p>
        </w:tc>
        <w:tc>
          <w:tcPr>
            <w:tcW w:w="1559" w:type="dxa"/>
            <w:shd w:val="clear" w:color="auto" w:fill="FFFFFF"/>
            <w:tcMar>
              <w:left w:w="85" w:type="dxa"/>
              <w:right w:w="85" w:type="dxa"/>
            </w:tcMar>
          </w:tcPr>
          <w:p w14:paraId="69060FEB" w14:textId="77777777" w:rsidR="00D44157" w:rsidRPr="006D1BC4" w:rsidRDefault="00D44157" w:rsidP="005F3628">
            <w:pPr>
              <w:rPr>
                <w:sz w:val="16"/>
                <w:szCs w:val="16"/>
              </w:rPr>
            </w:pPr>
            <w:r>
              <w:rPr>
                <w:sz w:val="16"/>
                <w:szCs w:val="16"/>
              </w:rPr>
              <w:t>Значимые</w:t>
            </w:r>
          </w:p>
        </w:tc>
      </w:tr>
      <w:tr w:rsidR="00D44157" w:rsidRPr="006D1BC4" w14:paraId="5B38B62C" w14:textId="77777777" w:rsidTr="005F3628">
        <w:trPr>
          <w:cantSplit/>
          <w:trHeight w:val="168"/>
        </w:trPr>
        <w:tc>
          <w:tcPr>
            <w:tcW w:w="1575" w:type="dxa"/>
            <w:vMerge/>
            <w:shd w:val="clear" w:color="auto" w:fill="FFFFFF"/>
            <w:tcMar>
              <w:left w:w="85" w:type="dxa"/>
              <w:right w:w="85" w:type="dxa"/>
            </w:tcMar>
          </w:tcPr>
          <w:p w14:paraId="438BBC3D" w14:textId="77777777" w:rsidR="00D44157" w:rsidRPr="006D1BC4" w:rsidRDefault="00D44157" w:rsidP="005F3628">
            <w:pPr>
              <w:rPr>
                <w:sz w:val="16"/>
                <w:szCs w:val="16"/>
              </w:rPr>
            </w:pPr>
          </w:p>
        </w:tc>
        <w:tc>
          <w:tcPr>
            <w:tcW w:w="807" w:type="dxa"/>
            <w:shd w:val="clear" w:color="auto" w:fill="FFFFFF"/>
            <w:tcMar>
              <w:left w:w="85" w:type="dxa"/>
              <w:right w:w="85" w:type="dxa"/>
            </w:tcMar>
          </w:tcPr>
          <w:p w14:paraId="62C14846" w14:textId="77777777" w:rsidR="00D44157" w:rsidRPr="006D1BC4" w:rsidRDefault="00D44157" w:rsidP="005F3628">
            <w:pPr>
              <w:rPr>
                <w:sz w:val="16"/>
                <w:szCs w:val="16"/>
              </w:rPr>
            </w:pPr>
            <w:r>
              <w:rPr>
                <w:sz w:val="16"/>
                <w:szCs w:val="16"/>
              </w:rPr>
              <w:t>В3</w:t>
            </w:r>
          </w:p>
        </w:tc>
        <w:tc>
          <w:tcPr>
            <w:tcW w:w="698" w:type="dxa"/>
            <w:shd w:val="clear" w:color="auto" w:fill="FFFFFF"/>
            <w:tcMar>
              <w:left w:w="85" w:type="dxa"/>
              <w:right w:w="85" w:type="dxa"/>
            </w:tcMar>
          </w:tcPr>
          <w:p w14:paraId="2BFE96A6" w14:textId="77777777" w:rsidR="00D44157" w:rsidRPr="006D1BC4" w:rsidRDefault="00D44157" w:rsidP="005F3628">
            <w:pPr>
              <w:rPr>
                <w:sz w:val="16"/>
                <w:szCs w:val="16"/>
              </w:rPr>
            </w:pPr>
            <w:r>
              <w:rPr>
                <w:sz w:val="16"/>
                <w:szCs w:val="16"/>
              </w:rPr>
              <w:t>58</w:t>
            </w:r>
          </w:p>
        </w:tc>
        <w:tc>
          <w:tcPr>
            <w:tcW w:w="1623" w:type="dxa"/>
            <w:shd w:val="clear" w:color="auto" w:fill="FFFFFF"/>
            <w:tcMar>
              <w:left w:w="85" w:type="dxa"/>
              <w:right w:w="85" w:type="dxa"/>
            </w:tcMar>
          </w:tcPr>
          <w:p w14:paraId="60E62363" w14:textId="77777777" w:rsidR="00D44157" w:rsidRPr="006D1BC4" w:rsidRDefault="00D44157" w:rsidP="005F3628">
            <w:pPr>
              <w:rPr>
                <w:sz w:val="16"/>
                <w:szCs w:val="16"/>
              </w:rPr>
            </w:pPr>
            <w:r>
              <w:rPr>
                <w:sz w:val="16"/>
                <w:szCs w:val="16"/>
              </w:rPr>
              <w:t>0,12</w:t>
            </w:r>
          </w:p>
        </w:tc>
        <w:tc>
          <w:tcPr>
            <w:tcW w:w="666" w:type="dxa"/>
            <w:shd w:val="clear" w:color="auto" w:fill="FFFFFF"/>
            <w:tcMar>
              <w:left w:w="85" w:type="dxa"/>
              <w:right w:w="85" w:type="dxa"/>
            </w:tcMar>
          </w:tcPr>
          <w:p w14:paraId="77E878EF" w14:textId="77777777" w:rsidR="00D44157" w:rsidRPr="006D1BC4" w:rsidRDefault="00D44157" w:rsidP="005F3628">
            <w:pPr>
              <w:rPr>
                <w:sz w:val="16"/>
                <w:szCs w:val="16"/>
              </w:rPr>
            </w:pPr>
            <w:r>
              <w:rPr>
                <w:sz w:val="16"/>
                <w:szCs w:val="16"/>
              </w:rPr>
              <w:t>49</w:t>
            </w:r>
          </w:p>
        </w:tc>
        <w:tc>
          <w:tcPr>
            <w:tcW w:w="1671" w:type="dxa"/>
            <w:shd w:val="clear" w:color="auto" w:fill="FFFFFF"/>
            <w:tcMar>
              <w:left w:w="85" w:type="dxa"/>
              <w:right w:w="85" w:type="dxa"/>
            </w:tcMar>
          </w:tcPr>
          <w:p w14:paraId="2C745F36" w14:textId="77777777" w:rsidR="00D44157" w:rsidRPr="006D1BC4" w:rsidRDefault="00D44157" w:rsidP="005F3628">
            <w:pPr>
              <w:rPr>
                <w:sz w:val="16"/>
                <w:szCs w:val="16"/>
              </w:rPr>
            </w:pPr>
            <w:r>
              <w:rPr>
                <w:sz w:val="16"/>
                <w:szCs w:val="16"/>
              </w:rPr>
              <w:t>0,27</w:t>
            </w:r>
          </w:p>
        </w:tc>
        <w:tc>
          <w:tcPr>
            <w:tcW w:w="2110" w:type="dxa"/>
            <w:shd w:val="clear" w:color="auto" w:fill="FFFFFF"/>
            <w:tcMar>
              <w:left w:w="85" w:type="dxa"/>
              <w:right w:w="85" w:type="dxa"/>
            </w:tcMar>
          </w:tcPr>
          <w:p w14:paraId="07757429" w14:textId="77777777" w:rsidR="00D44157" w:rsidRPr="006D1BC4" w:rsidRDefault="00D44157" w:rsidP="005F3628">
            <w:pPr>
              <w:rPr>
                <w:sz w:val="16"/>
                <w:szCs w:val="16"/>
              </w:rPr>
            </w:pPr>
            <w:r>
              <w:rPr>
                <w:sz w:val="16"/>
                <w:szCs w:val="16"/>
              </w:rPr>
              <w:t>0,150</w:t>
            </w:r>
          </w:p>
        </w:tc>
        <w:tc>
          <w:tcPr>
            <w:tcW w:w="1559" w:type="dxa"/>
            <w:shd w:val="clear" w:color="auto" w:fill="FFFFFF"/>
            <w:tcMar>
              <w:left w:w="85" w:type="dxa"/>
              <w:right w:w="85" w:type="dxa"/>
            </w:tcMar>
          </w:tcPr>
          <w:p w14:paraId="3FF5FEB2" w14:textId="77777777" w:rsidR="00D44157" w:rsidRPr="006D1BC4" w:rsidRDefault="00D44157" w:rsidP="005F3628">
            <w:pPr>
              <w:rPr>
                <w:sz w:val="16"/>
                <w:szCs w:val="16"/>
              </w:rPr>
            </w:pPr>
            <w:r>
              <w:rPr>
                <w:sz w:val="16"/>
                <w:szCs w:val="16"/>
              </w:rPr>
              <w:t>Незначимые</w:t>
            </w:r>
          </w:p>
        </w:tc>
      </w:tr>
      <w:tr w:rsidR="00D44157" w:rsidRPr="006D1BC4" w14:paraId="19706E14" w14:textId="77777777" w:rsidTr="005F3628">
        <w:trPr>
          <w:cantSplit/>
          <w:trHeight w:val="173"/>
        </w:trPr>
        <w:tc>
          <w:tcPr>
            <w:tcW w:w="1575" w:type="dxa"/>
            <w:vMerge/>
            <w:shd w:val="clear" w:color="auto" w:fill="FFFFFF"/>
            <w:tcMar>
              <w:left w:w="85" w:type="dxa"/>
              <w:right w:w="85" w:type="dxa"/>
            </w:tcMar>
          </w:tcPr>
          <w:p w14:paraId="29B1A913" w14:textId="77777777" w:rsidR="00D44157" w:rsidRPr="006D1BC4" w:rsidRDefault="00D44157" w:rsidP="005F3628">
            <w:pPr>
              <w:rPr>
                <w:sz w:val="16"/>
                <w:szCs w:val="16"/>
              </w:rPr>
            </w:pPr>
          </w:p>
        </w:tc>
        <w:tc>
          <w:tcPr>
            <w:tcW w:w="807" w:type="dxa"/>
            <w:shd w:val="clear" w:color="auto" w:fill="FFFFFF"/>
            <w:tcMar>
              <w:left w:w="85" w:type="dxa"/>
              <w:right w:w="85" w:type="dxa"/>
            </w:tcMar>
          </w:tcPr>
          <w:p w14:paraId="1FB017BE" w14:textId="77777777" w:rsidR="00D44157" w:rsidRPr="006D1BC4" w:rsidRDefault="00D44157" w:rsidP="005F3628">
            <w:pPr>
              <w:rPr>
                <w:sz w:val="16"/>
                <w:szCs w:val="16"/>
              </w:rPr>
            </w:pPr>
            <w:r>
              <w:rPr>
                <w:sz w:val="16"/>
                <w:szCs w:val="16"/>
              </w:rPr>
              <w:t>В4</w:t>
            </w:r>
          </w:p>
        </w:tc>
        <w:tc>
          <w:tcPr>
            <w:tcW w:w="698" w:type="dxa"/>
            <w:shd w:val="clear" w:color="auto" w:fill="FFFFFF"/>
            <w:tcMar>
              <w:left w:w="85" w:type="dxa"/>
              <w:right w:w="85" w:type="dxa"/>
            </w:tcMar>
          </w:tcPr>
          <w:p w14:paraId="418BA5B2" w14:textId="77777777" w:rsidR="00D44157" w:rsidRPr="006D1BC4" w:rsidRDefault="00D44157" w:rsidP="005F3628">
            <w:pPr>
              <w:rPr>
                <w:sz w:val="16"/>
                <w:szCs w:val="16"/>
              </w:rPr>
            </w:pPr>
            <w:r>
              <w:rPr>
                <w:sz w:val="16"/>
                <w:szCs w:val="16"/>
              </w:rPr>
              <w:t>58</w:t>
            </w:r>
          </w:p>
        </w:tc>
        <w:tc>
          <w:tcPr>
            <w:tcW w:w="1623" w:type="dxa"/>
            <w:shd w:val="clear" w:color="auto" w:fill="FFFFFF"/>
            <w:tcMar>
              <w:left w:w="85" w:type="dxa"/>
              <w:right w:w="85" w:type="dxa"/>
            </w:tcMar>
          </w:tcPr>
          <w:p w14:paraId="2560770E" w14:textId="77777777" w:rsidR="00D44157" w:rsidRPr="006D1BC4" w:rsidRDefault="00D44157" w:rsidP="005F3628">
            <w:pPr>
              <w:rPr>
                <w:sz w:val="16"/>
                <w:szCs w:val="16"/>
              </w:rPr>
            </w:pPr>
            <w:r>
              <w:rPr>
                <w:sz w:val="16"/>
                <w:szCs w:val="16"/>
              </w:rPr>
              <w:t>0,00</w:t>
            </w:r>
          </w:p>
        </w:tc>
        <w:tc>
          <w:tcPr>
            <w:tcW w:w="666" w:type="dxa"/>
            <w:shd w:val="clear" w:color="auto" w:fill="FFFFFF"/>
            <w:tcMar>
              <w:left w:w="85" w:type="dxa"/>
              <w:right w:w="85" w:type="dxa"/>
            </w:tcMar>
          </w:tcPr>
          <w:p w14:paraId="00C42251" w14:textId="77777777" w:rsidR="00D44157" w:rsidRPr="006D1BC4" w:rsidRDefault="00D44157" w:rsidP="005F3628">
            <w:pPr>
              <w:rPr>
                <w:sz w:val="16"/>
                <w:szCs w:val="16"/>
              </w:rPr>
            </w:pPr>
            <w:r>
              <w:rPr>
                <w:sz w:val="16"/>
                <w:szCs w:val="16"/>
              </w:rPr>
              <w:t>49</w:t>
            </w:r>
          </w:p>
        </w:tc>
        <w:tc>
          <w:tcPr>
            <w:tcW w:w="1671" w:type="dxa"/>
            <w:shd w:val="clear" w:color="auto" w:fill="FFFFFF"/>
            <w:tcMar>
              <w:left w:w="85" w:type="dxa"/>
              <w:right w:w="85" w:type="dxa"/>
            </w:tcMar>
          </w:tcPr>
          <w:p w14:paraId="7F6522D0" w14:textId="77777777" w:rsidR="00D44157" w:rsidRPr="006D1BC4" w:rsidRDefault="00D44157" w:rsidP="005F3628">
            <w:pPr>
              <w:rPr>
                <w:sz w:val="16"/>
                <w:szCs w:val="16"/>
              </w:rPr>
            </w:pPr>
            <w:r>
              <w:rPr>
                <w:sz w:val="16"/>
                <w:szCs w:val="16"/>
              </w:rPr>
              <w:t>0,00</w:t>
            </w:r>
          </w:p>
        </w:tc>
        <w:tc>
          <w:tcPr>
            <w:tcW w:w="2110" w:type="dxa"/>
            <w:shd w:val="clear" w:color="auto" w:fill="FFFFFF"/>
            <w:tcMar>
              <w:left w:w="85" w:type="dxa"/>
              <w:right w:w="85" w:type="dxa"/>
            </w:tcMar>
          </w:tcPr>
          <w:p w14:paraId="65F577E7" w14:textId="77777777" w:rsidR="00D44157" w:rsidRPr="006D1BC4" w:rsidRDefault="00D44157" w:rsidP="005F3628">
            <w:pPr>
              <w:rPr>
                <w:sz w:val="16"/>
                <w:szCs w:val="16"/>
              </w:rPr>
            </w:pPr>
            <w:r>
              <w:rPr>
                <w:sz w:val="16"/>
                <w:szCs w:val="16"/>
              </w:rPr>
              <w:t>1,000</w:t>
            </w:r>
          </w:p>
        </w:tc>
        <w:tc>
          <w:tcPr>
            <w:tcW w:w="1559" w:type="dxa"/>
            <w:shd w:val="clear" w:color="auto" w:fill="FFFFFF"/>
            <w:tcMar>
              <w:left w:w="85" w:type="dxa"/>
              <w:right w:w="85" w:type="dxa"/>
            </w:tcMar>
          </w:tcPr>
          <w:p w14:paraId="1505C558" w14:textId="77777777" w:rsidR="00D44157" w:rsidRPr="006D1BC4" w:rsidRDefault="00D44157" w:rsidP="005F3628">
            <w:pPr>
              <w:rPr>
                <w:sz w:val="16"/>
                <w:szCs w:val="16"/>
              </w:rPr>
            </w:pPr>
            <w:r>
              <w:rPr>
                <w:sz w:val="16"/>
                <w:szCs w:val="16"/>
              </w:rPr>
              <w:t>Незначимые</w:t>
            </w:r>
          </w:p>
        </w:tc>
      </w:tr>
      <w:tr w:rsidR="00D44157" w:rsidRPr="006D1BC4" w14:paraId="2F98DBCD" w14:textId="77777777" w:rsidTr="005F3628">
        <w:trPr>
          <w:cantSplit/>
          <w:trHeight w:val="178"/>
        </w:trPr>
        <w:tc>
          <w:tcPr>
            <w:tcW w:w="1575" w:type="dxa"/>
            <w:vMerge w:val="restart"/>
            <w:shd w:val="clear" w:color="auto" w:fill="FFFFFF"/>
            <w:tcMar>
              <w:left w:w="85" w:type="dxa"/>
              <w:right w:w="85" w:type="dxa"/>
            </w:tcMar>
          </w:tcPr>
          <w:p w14:paraId="093BB615" w14:textId="77777777" w:rsidR="00D44157" w:rsidRPr="006D1BC4" w:rsidRDefault="00D44157" w:rsidP="005F3628">
            <w:pPr>
              <w:rPr>
                <w:sz w:val="16"/>
                <w:szCs w:val="16"/>
              </w:rPr>
            </w:pPr>
            <w:r>
              <w:rPr>
                <w:sz w:val="16"/>
                <w:szCs w:val="16"/>
              </w:rPr>
              <w:t>Заложенность носа</w:t>
            </w:r>
          </w:p>
        </w:tc>
        <w:tc>
          <w:tcPr>
            <w:tcW w:w="807" w:type="dxa"/>
            <w:shd w:val="clear" w:color="auto" w:fill="FFFFFF"/>
            <w:tcMar>
              <w:left w:w="85" w:type="dxa"/>
              <w:right w:w="85" w:type="dxa"/>
            </w:tcMar>
          </w:tcPr>
          <w:p w14:paraId="52C4FBAD" w14:textId="77777777" w:rsidR="00D44157" w:rsidRPr="006D1BC4" w:rsidRDefault="00D44157" w:rsidP="005F3628">
            <w:pPr>
              <w:rPr>
                <w:sz w:val="16"/>
                <w:szCs w:val="16"/>
              </w:rPr>
            </w:pPr>
            <w:r>
              <w:rPr>
                <w:sz w:val="16"/>
                <w:szCs w:val="16"/>
              </w:rPr>
              <w:t>В1</w:t>
            </w:r>
          </w:p>
        </w:tc>
        <w:tc>
          <w:tcPr>
            <w:tcW w:w="698" w:type="dxa"/>
            <w:shd w:val="clear" w:color="auto" w:fill="FFFFFF"/>
            <w:tcMar>
              <w:left w:w="85" w:type="dxa"/>
              <w:right w:w="85" w:type="dxa"/>
            </w:tcMar>
          </w:tcPr>
          <w:p w14:paraId="69F7F097" w14:textId="77777777" w:rsidR="00D44157" w:rsidRPr="006D1BC4" w:rsidRDefault="00D44157" w:rsidP="005F3628">
            <w:pPr>
              <w:rPr>
                <w:sz w:val="16"/>
                <w:szCs w:val="16"/>
              </w:rPr>
            </w:pPr>
            <w:r>
              <w:rPr>
                <w:sz w:val="16"/>
                <w:szCs w:val="16"/>
              </w:rPr>
              <w:t>64</w:t>
            </w:r>
          </w:p>
        </w:tc>
        <w:tc>
          <w:tcPr>
            <w:tcW w:w="1623" w:type="dxa"/>
            <w:shd w:val="clear" w:color="auto" w:fill="FFFFFF"/>
            <w:tcMar>
              <w:left w:w="85" w:type="dxa"/>
              <w:right w:w="85" w:type="dxa"/>
            </w:tcMar>
          </w:tcPr>
          <w:p w14:paraId="67D5BB67" w14:textId="77777777" w:rsidR="00D44157" w:rsidRPr="006D1BC4" w:rsidRDefault="00D44157" w:rsidP="005F3628">
            <w:pPr>
              <w:rPr>
                <w:sz w:val="16"/>
                <w:szCs w:val="16"/>
              </w:rPr>
            </w:pPr>
            <w:r>
              <w:rPr>
                <w:sz w:val="16"/>
                <w:szCs w:val="16"/>
              </w:rPr>
              <w:t>3,77</w:t>
            </w:r>
          </w:p>
        </w:tc>
        <w:tc>
          <w:tcPr>
            <w:tcW w:w="666" w:type="dxa"/>
            <w:shd w:val="clear" w:color="auto" w:fill="FFFFFF"/>
            <w:tcMar>
              <w:left w:w="85" w:type="dxa"/>
              <w:right w:w="85" w:type="dxa"/>
            </w:tcMar>
          </w:tcPr>
          <w:p w14:paraId="0D834380" w14:textId="77777777" w:rsidR="00D44157" w:rsidRPr="006D1BC4" w:rsidRDefault="00D44157" w:rsidP="005F3628">
            <w:pPr>
              <w:rPr>
                <w:sz w:val="16"/>
                <w:szCs w:val="16"/>
              </w:rPr>
            </w:pPr>
            <w:r>
              <w:rPr>
                <w:sz w:val="16"/>
                <w:szCs w:val="16"/>
              </w:rPr>
              <w:t>55</w:t>
            </w:r>
          </w:p>
        </w:tc>
        <w:tc>
          <w:tcPr>
            <w:tcW w:w="1671" w:type="dxa"/>
            <w:shd w:val="clear" w:color="auto" w:fill="FFFFFF"/>
            <w:tcMar>
              <w:left w:w="85" w:type="dxa"/>
              <w:right w:w="85" w:type="dxa"/>
            </w:tcMar>
          </w:tcPr>
          <w:p w14:paraId="7FC13A3F" w14:textId="77777777" w:rsidR="00D44157" w:rsidRPr="006D1BC4" w:rsidRDefault="00D44157" w:rsidP="005F3628">
            <w:pPr>
              <w:rPr>
                <w:sz w:val="16"/>
                <w:szCs w:val="16"/>
              </w:rPr>
            </w:pPr>
            <w:r>
              <w:rPr>
                <w:sz w:val="16"/>
                <w:szCs w:val="16"/>
              </w:rPr>
              <w:t>3,78</w:t>
            </w:r>
          </w:p>
        </w:tc>
        <w:tc>
          <w:tcPr>
            <w:tcW w:w="2110" w:type="dxa"/>
            <w:shd w:val="clear" w:color="auto" w:fill="FFFFFF"/>
            <w:tcMar>
              <w:left w:w="85" w:type="dxa"/>
              <w:right w:w="85" w:type="dxa"/>
            </w:tcMar>
          </w:tcPr>
          <w:p w14:paraId="32E47E4B" w14:textId="77777777" w:rsidR="00D44157" w:rsidRPr="006D1BC4" w:rsidRDefault="00D44157" w:rsidP="005F3628">
            <w:pPr>
              <w:rPr>
                <w:sz w:val="16"/>
                <w:szCs w:val="16"/>
              </w:rPr>
            </w:pPr>
            <w:r>
              <w:rPr>
                <w:sz w:val="16"/>
                <w:szCs w:val="16"/>
              </w:rPr>
              <w:t>0,834</w:t>
            </w:r>
          </w:p>
        </w:tc>
        <w:tc>
          <w:tcPr>
            <w:tcW w:w="1559" w:type="dxa"/>
            <w:shd w:val="clear" w:color="auto" w:fill="FFFFFF"/>
            <w:tcMar>
              <w:left w:w="85" w:type="dxa"/>
              <w:right w:w="85" w:type="dxa"/>
            </w:tcMar>
          </w:tcPr>
          <w:p w14:paraId="02CDE362" w14:textId="77777777" w:rsidR="00D44157" w:rsidRPr="006D1BC4" w:rsidRDefault="00D44157" w:rsidP="005F3628">
            <w:pPr>
              <w:rPr>
                <w:sz w:val="16"/>
                <w:szCs w:val="16"/>
              </w:rPr>
            </w:pPr>
            <w:r>
              <w:rPr>
                <w:sz w:val="16"/>
                <w:szCs w:val="16"/>
              </w:rPr>
              <w:t>Незначимые</w:t>
            </w:r>
          </w:p>
        </w:tc>
      </w:tr>
      <w:tr w:rsidR="00D44157" w:rsidRPr="006D1BC4" w14:paraId="39EAD8A9" w14:textId="77777777" w:rsidTr="005F3628">
        <w:trPr>
          <w:cantSplit/>
          <w:trHeight w:val="168"/>
        </w:trPr>
        <w:tc>
          <w:tcPr>
            <w:tcW w:w="1575" w:type="dxa"/>
            <w:vMerge/>
            <w:shd w:val="clear" w:color="auto" w:fill="FFFFFF"/>
            <w:tcMar>
              <w:left w:w="85" w:type="dxa"/>
              <w:right w:w="85" w:type="dxa"/>
            </w:tcMar>
          </w:tcPr>
          <w:p w14:paraId="16351FF8" w14:textId="77777777" w:rsidR="00D44157" w:rsidRPr="006D1BC4" w:rsidRDefault="00D44157" w:rsidP="005F3628">
            <w:pPr>
              <w:rPr>
                <w:sz w:val="16"/>
                <w:szCs w:val="16"/>
              </w:rPr>
            </w:pPr>
          </w:p>
        </w:tc>
        <w:tc>
          <w:tcPr>
            <w:tcW w:w="807" w:type="dxa"/>
            <w:shd w:val="clear" w:color="auto" w:fill="FFFFFF"/>
            <w:tcMar>
              <w:left w:w="85" w:type="dxa"/>
              <w:right w:w="85" w:type="dxa"/>
            </w:tcMar>
          </w:tcPr>
          <w:p w14:paraId="0F182512" w14:textId="77777777" w:rsidR="00D44157" w:rsidRPr="006D1BC4" w:rsidRDefault="00D44157" w:rsidP="005F3628">
            <w:pPr>
              <w:rPr>
                <w:sz w:val="16"/>
                <w:szCs w:val="16"/>
              </w:rPr>
            </w:pPr>
            <w:r>
              <w:rPr>
                <w:sz w:val="16"/>
                <w:szCs w:val="16"/>
              </w:rPr>
              <w:t>В2</w:t>
            </w:r>
          </w:p>
        </w:tc>
        <w:tc>
          <w:tcPr>
            <w:tcW w:w="698" w:type="dxa"/>
            <w:shd w:val="clear" w:color="auto" w:fill="FFFFFF"/>
            <w:tcMar>
              <w:left w:w="85" w:type="dxa"/>
              <w:right w:w="85" w:type="dxa"/>
            </w:tcMar>
          </w:tcPr>
          <w:p w14:paraId="2C52CAF4" w14:textId="77777777" w:rsidR="00D44157" w:rsidRPr="006D1BC4" w:rsidRDefault="00D44157" w:rsidP="005F3628">
            <w:pPr>
              <w:rPr>
                <w:sz w:val="16"/>
                <w:szCs w:val="16"/>
              </w:rPr>
            </w:pPr>
            <w:r>
              <w:rPr>
                <w:sz w:val="16"/>
                <w:szCs w:val="16"/>
              </w:rPr>
              <w:t>63</w:t>
            </w:r>
          </w:p>
        </w:tc>
        <w:tc>
          <w:tcPr>
            <w:tcW w:w="1623" w:type="dxa"/>
            <w:shd w:val="clear" w:color="auto" w:fill="FFFFFF"/>
            <w:tcMar>
              <w:left w:w="85" w:type="dxa"/>
              <w:right w:w="85" w:type="dxa"/>
            </w:tcMar>
          </w:tcPr>
          <w:p w14:paraId="7F40BAF1" w14:textId="77777777" w:rsidR="00D44157" w:rsidRPr="006D1BC4" w:rsidRDefault="00D44157" w:rsidP="005F3628">
            <w:pPr>
              <w:rPr>
                <w:sz w:val="16"/>
                <w:szCs w:val="16"/>
              </w:rPr>
            </w:pPr>
            <w:r>
              <w:rPr>
                <w:sz w:val="16"/>
                <w:szCs w:val="16"/>
              </w:rPr>
              <w:t>1,40</w:t>
            </w:r>
          </w:p>
        </w:tc>
        <w:tc>
          <w:tcPr>
            <w:tcW w:w="666" w:type="dxa"/>
            <w:shd w:val="clear" w:color="auto" w:fill="FFFFFF"/>
            <w:tcMar>
              <w:left w:w="85" w:type="dxa"/>
              <w:right w:w="85" w:type="dxa"/>
            </w:tcMar>
          </w:tcPr>
          <w:p w14:paraId="7150BA9D" w14:textId="77777777" w:rsidR="00D44157" w:rsidRPr="006D1BC4" w:rsidRDefault="00D44157" w:rsidP="005F3628">
            <w:pPr>
              <w:rPr>
                <w:sz w:val="16"/>
                <w:szCs w:val="16"/>
              </w:rPr>
            </w:pPr>
            <w:r>
              <w:rPr>
                <w:sz w:val="16"/>
                <w:szCs w:val="16"/>
              </w:rPr>
              <w:t>55</w:t>
            </w:r>
          </w:p>
        </w:tc>
        <w:tc>
          <w:tcPr>
            <w:tcW w:w="1671" w:type="dxa"/>
            <w:shd w:val="clear" w:color="auto" w:fill="FFFFFF"/>
            <w:tcMar>
              <w:left w:w="85" w:type="dxa"/>
              <w:right w:w="85" w:type="dxa"/>
            </w:tcMar>
          </w:tcPr>
          <w:p w14:paraId="41141E08" w14:textId="77777777" w:rsidR="00D44157" w:rsidRPr="006D1BC4" w:rsidRDefault="00D44157" w:rsidP="005F3628">
            <w:pPr>
              <w:rPr>
                <w:sz w:val="16"/>
                <w:szCs w:val="16"/>
              </w:rPr>
            </w:pPr>
            <w:r>
              <w:rPr>
                <w:sz w:val="16"/>
                <w:szCs w:val="16"/>
              </w:rPr>
              <w:t>2,27</w:t>
            </w:r>
          </w:p>
        </w:tc>
        <w:tc>
          <w:tcPr>
            <w:tcW w:w="2110" w:type="dxa"/>
            <w:shd w:val="clear" w:color="auto" w:fill="FFFFFF"/>
            <w:tcMar>
              <w:left w:w="85" w:type="dxa"/>
              <w:right w:w="85" w:type="dxa"/>
            </w:tcMar>
          </w:tcPr>
          <w:p w14:paraId="3BD102A1" w14:textId="77777777" w:rsidR="00D44157" w:rsidRPr="006D1BC4" w:rsidRDefault="00D44157" w:rsidP="005F3628">
            <w:pPr>
              <w:rPr>
                <w:sz w:val="16"/>
                <w:szCs w:val="16"/>
              </w:rPr>
            </w:pPr>
            <w:r>
              <w:rPr>
                <w:sz w:val="16"/>
                <w:szCs w:val="16"/>
              </w:rPr>
              <w:t>0,000</w:t>
            </w:r>
          </w:p>
        </w:tc>
        <w:tc>
          <w:tcPr>
            <w:tcW w:w="1559" w:type="dxa"/>
            <w:shd w:val="clear" w:color="auto" w:fill="FFFFFF"/>
            <w:tcMar>
              <w:left w:w="85" w:type="dxa"/>
              <w:right w:w="85" w:type="dxa"/>
            </w:tcMar>
          </w:tcPr>
          <w:p w14:paraId="5C5EBFA4" w14:textId="77777777" w:rsidR="00D44157" w:rsidRPr="006D1BC4" w:rsidRDefault="00D44157" w:rsidP="005F3628">
            <w:pPr>
              <w:rPr>
                <w:sz w:val="16"/>
                <w:szCs w:val="16"/>
              </w:rPr>
            </w:pPr>
            <w:r>
              <w:rPr>
                <w:sz w:val="16"/>
                <w:szCs w:val="16"/>
              </w:rPr>
              <w:t>Значимые</w:t>
            </w:r>
          </w:p>
        </w:tc>
      </w:tr>
      <w:tr w:rsidR="00D44157" w:rsidRPr="006D1BC4" w14:paraId="0244D04E" w14:textId="77777777" w:rsidTr="005F3628">
        <w:trPr>
          <w:cantSplit/>
          <w:trHeight w:val="168"/>
        </w:trPr>
        <w:tc>
          <w:tcPr>
            <w:tcW w:w="1575" w:type="dxa"/>
            <w:vMerge/>
            <w:shd w:val="clear" w:color="auto" w:fill="FFFFFF"/>
            <w:tcMar>
              <w:left w:w="85" w:type="dxa"/>
              <w:right w:w="85" w:type="dxa"/>
            </w:tcMar>
          </w:tcPr>
          <w:p w14:paraId="01869C52" w14:textId="77777777" w:rsidR="00D44157" w:rsidRPr="006D1BC4" w:rsidRDefault="00D44157" w:rsidP="005F3628">
            <w:pPr>
              <w:rPr>
                <w:sz w:val="16"/>
                <w:szCs w:val="16"/>
              </w:rPr>
            </w:pPr>
          </w:p>
        </w:tc>
        <w:tc>
          <w:tcPr>
            <w:tcW w:w="807" w:type="dxa"/>
            <w:shd w:val="clear" w:color="auto" w:fill="FFFFFF"/>
            <w:tcMar>
              <w:left w:w="85" w:type="dxa"/>
              <w:right w:w="85" w:type="dxa"/>
            </w:tcMar>
          </w:tcPr>
          <w:p w14:paraId="2427AFDC" w14:textId="77777777" w:rsidR="00D44157" w:rsidRPr="006D1BC4" w:rsidRDefault="00D44157" w:rsidP="005F3628">
            <w:pPr>
              <w:rPr>
                <w:sz w:val="16"/>
                <w:szCs w:val="16"/>
              </w:rPr>
            </w:pPr>
            <w:r>
              <w:rPr>
                <w:sz w:val="16"/>
                <w:szCs w:val="16"/>
              </w:rPr>
              <w:t>В3</w:t>
            </w:r>
          </w:p>
        </w:tc>
        <w:tc>
          <w:tcPr>
            <w:tcW w:w="698" w:type="dxa"/>
            <w:shd w:val="clear" w:color="auto" w:fill="FFFFFF"/>
            <w:tcMar>
              <w:left w:w="85" w:type="dxa"/>
              <w:right w:w="85" w:type="dxa"/>
            </w:tcMar>
          </w:tcPr>
          <w:p w14:paraId="21925BFF" w14:textId="77777777" w:rsidR="00D44157" w:rsidRPr="006D1BC4" w:rsidRDefault="00D44157" w:rsidP="005F3628">
            <w:pPr>
              <w:rPr>
                <w:sz w:val="16"/>
                <w:szCs w:val="16"/>
              </w:rPr>
            </w:pPr>
            <w:r>
              <w:rPr>
                <w:sz w:val="16"/>
                <w:szCs w:val="16"/>
              </w:rPr>
              <w:t>58</w:t>
            </w:r>
          </w:p>
        </w:tc>
        <w:tc>
          <w:tcPr>
            <w:tcW w:w="1623" w:type="dxa"/>
            <w:shd w:val="clear" w:color="auto" w:fill="FFFFFF"/>
            <w:tcMar>
              <w:left w:w="85" w:type="dxa"/>
              <w:right w:w="85" w:type="dxa"/>
            </w:tcMar>
          </w:tcPr>
          <w:p w14:paraId="06E01926" w14:textId="77777777" w:rsidR="00D44157" w:rsidRPr="006D1BC4" w:rsidRDefault="00D44157" w:rsidP="005F3628">
            <w:pPr>
              <w:rPr>
                <w:sz w:val="16"/>
                <w:szCs w:val="16"/>
              </w:rPr>
            </w:pPr>
            <w:r>
              <w:rPr>
                <w:sz w:val="16"/>
                <w:szCs w:val="16"/>
              </w:rPr>
              <w:t>0,07</w:t>
            </w:r>
          </w:p>
        </w:tc>
        <w:tc>
          <w:tcPr>
            <w:tcW w:w="666" w:type="dxa"/>
            <w:shd w:val="clear" w:color="auto" w:fill="FFFFFF"/>
            <w:tcMar>
              <w:left w:w="85" w:type="dxa"/>
              <w:right w:w="85" w:type="dxa"/>
            </w:tcMar>
          </w:tcPr>
          <w:p w14:paraId="5E3177EB" w14:textId="77777777" w:rsidR="00D44157" w:rsidRPr="006D1BC4" w:rsidRDefault="00D44157" w:rsidP="005F3628">
            <w:pPr>
              <w:rPr>
                <w:sz w:val="16"/>
                <w:szCs w:val="16"/>
              </w:rPr>
            </w:pPr>
            <w:r>
              <w:rPr>
                <w:sz w:val="16"/>
                <w:szCs w:val="16"/>
              </w:rPr>
              <w:t>49</w:t>
            </w:r>
          </w:p>
        </w:tc>
        <w:tc>
          <w:tcPr>
            <w:tcW w:w="1671" w:type="dxa"/>
            <w:shd w:val="clear" w:color="auto" w:fill="FFFFFF"/>
            <w:tcMar>
              <w:left w:w="85" w:type="dxa"/>
              <w:right w:w="85" w:type="dxa"/>
            </w:tcMar>
          </w:tcPr>
          <w:p w14:paraId="2AD261E7" w14:textId="77777777" w:rsidR="00D44157" w:rsidRPr="006D1BC4" w:rsidRDefault="00D44157" w:rsidP="005F3628">
            <w:pPr>
              <w:rPr>
                <w:sz w:val="16"/>
                <w:szCs w:val="16"/>
              </w:rPr>
            </w:pPr>
            <w:r>
              <w:rPr>
                <w:sz w:val="16"/>
                <w:szCs w:val="16"/>
              </w:rPr>
              <w:t>0,18</w:t>
            </w:r>
          </w:p>
        </w:tc>
        <w:tc>
          <w:tcPr>
            <w:tcW w:w="2110" w:type="dxa"/>
            <w:shd w:val="clear" w:color="auto" w:fill="FFFFFF"/>
            <w:tcMar>
              <w:left w:w="85" w:type="dxa"/>
              <w:right w:w="85" w:type="dxa"/>
            </w:tcMar>
          </w:tcPr>
          <w:p w14:paraId="6402AFE3" w14:textId="77777777" w:rsidR="00D44157" w:rsidRPr="006D1BC4" w:rsidRDefault="00D44157" w:rsidP="005F3628">
            <w:pPr>
              <w:rPr>
                <w:sz w:val="16"/>
                <w:szCs w:val="16"/>
              </w:rPr>
            </w:pPr>
            <w:r>
              <w:rPr>
                <w:sz w:val="16"/>
                <w:szCs w:val="16"/>
              </w:rPr>
              <w:t>0,209</w:t>
            </w:r>
          </w:p>
        </w:tc>
        <w:tc>
          <w:tcPr>
            <w:tcW w:w="1559" w:type="dxa"/>
            <w:shd w:val="clear" w:color="auto" w:fill="FFFFFF"/>
            <w:tcMar>
              <w:left w:w="85" w:type="dxa"/>
              <w:right w:w="85" w:type="dxa"/>
            </w:tcMar>
          </w:tcPr>
          <w:p w14:paraId="5622708E" w14:textId="77777777" w:rsidR="00D44157" w:rsidRPr="006D1BC4" w:rsidRDefault="00D44157" w:rsidP="005F3628">
            <w:pPr>
              <w:rPr>
                <w:sz w:val="16"/>
                <w:szCs w:val="16"/>
              </w:rPr>
            </w:pPr>
            <w:r>
              <w:rPr>
                <w:sz w:val="16"/>
                <w:szCs w:val="16"/>
              </w:rPr>
              <w:t>Незначимые</w:t>
            </w:r>
          </w:p>
        </w:tc>
      </w:tr>
      <w:tr w:rsidR="00D44157" w:rsidRPr="006D1BC4" w14:paraId="7C81C342" w14:textId="77777777" w:rsidTr="005F3628">
        <w:trPr>
          <w:cantSplit/>
          <w:trHeight w:val="168"/>
        </w:trPr>
        <w:tc>
          <w:tcPr>
            <w:tcW w:w="1575" w:type="dxa"/>
            <w:vMerge/>
            <w:shd w:val="clear" w:color="auto" w:fill="FFFFFF"/>
            <w:tcMar>
              <w:left w:w="85" w:type="dxa"/>
              <w:right w:w="85" w:type="dxa"/>
            </w:tcMar>
          </w:tcPr>
          <w:p w14:paraId="24F7F636" w14:textId="77777777" w:rsidR="00D44157" w:rsidRPr="006D1BC4" w:rsidRDefault="00D44157" w:rsidP="005F3628">
            <w:pPr>
              <w:rPr>
                <w:sz w:val="16"/>
                <w:szCs w:val="16"/>
              </w:rPr>
            </w:pPr>
          </w:p>
        </w:tc>
        <w:tc>
          <w:tcPr>
            <w:tcW w:w="807" w:type="dxa"/>
            <w:shd w:val="clear" w:color="auto" w:fill="FFFFFF"/>
            <w:tcMar>
              <w:left w:w="85" w:type="dxa"/>
              <w:right w:w="85" w:type="dxa"/>
            </w:tcMar>
          </w:tcPr>
          <w:p w14:paraId="57AD4019" w14:textId="77777777" w:rsidR="00D44157" w:rsidRPr="006D1BC4" w:rsidRDefault="00D44157" w:rsidP="005F3628">
            <w:pPr>
              <w:rPr>
                <w:sz w:val="16"/>
                <w:szCs w:val="16"/>
              </w:rPr>
            </w:pPr>
            <w:r>
              <w:rPr>
                <w:sz w:val="16"/>
                <w:szCs w:val="16"/>
              </w:rPr>
              <w:t>В4</w:t>
            </w:r>
          </w:p>
        </w:tc>
        <w:tc>
          <w:tcPr>
            <w:tcW w:w="698" w:type="dxa"/>
            <w:shd w:val="clear" w:color="auto" w:fill="FFFFFF"/>
            <w:tcMar>
              <w:left w:w="85" w:type="dxa"/>
              <w:right w:w="85" w:type="dxa"/>
            </w:tcMar>
          </w:tcPr>
          <w:p w14:paraId="2C80DEB1" w14:textId="77777777" w:rsidR="00D44157" w:rsidRPr="006D1BC4" w:rsidRDefault="00D44157" w:rsidP="005F3628">
            <w:pPr>
              <w:rPr>
                <w:sz w:val="16"/>
                <w:szCs w:val="16"/>
              </w:rPr>
            </w:pPr>
            <w:r>
              <w:rPr>
                <w:sz w:val="16"/>
                <w:szCs w:val="16"/>
              </w:rPr>
              <w:t>58</w:t>
            </w:r>
          </w:p>
        </w:tc>
        <w:tc>
          <w:tcPr>
            <w:tcW w:w="1623" w:type="dxa"/>
            <w:shd w:val="clear" w:color="auto" w:fill="FFFFFF"/>
            <w:tcMar>
              <w:left w:w="85" w:type="dxa"/>
              <w:right w:w="85" w:type="dxa"/>
            </w:tcMar>
          </w:tcPr>
          <w:p w14:paraId="66EBFD72" w14:textId="77777777" w:rsidR="00D44157" w:rsidRPr="006D1BC4" w:rsidRDefault="00D44157" w:rsidP="005F3628">
            <w:pPr>
              <w:rPr>
                <w:sz w:val="16"/>
                <w:szCs w:val="16"/>
              </w:rPr>
            </w:pPr>
            <w:r>
              <w:rPr>
                <w:sz w:val="16"/>
                <w:szCs w:val="16"/>
              </w:rPr>
              <w:t>0,00</w:t>
            </w:r>
          </w:p>
        </w:tc>
        <w:tc>
          <w:tcPr>
            <w:tcW w:w="666" w:type="dxa"/>
            <w:shd w:val="clear" w:color="auto" w:fill="FFFFFF"/>
            <w:tcMar>
              <w:left w:w="85" w:type="dxa"/>
              <w:right w:w="85" w:type="dxa"/>
            </w:tcMar>
          </w:tcPr>
          <w:p w14:paraId="0666F3C1" w14:textId="77777777" w:rsidR="00D44157" w:rsidRPr="006D1BC4" w:rsidRDefault="00D44157" w:rsidP="005F3628">
            <w:pPr>
              <w:rPr>
                <w:sz w:val="16"/>
                <w:szCs w:val="16"/>
              </w:rPr>
            </w:pPr>
            <w:r>
              <w:rPr>
                <w:sz w:val="16"/>
                <w:szCs w:val="16"/>
              </w:rPr>
              <w:t>49</w:t>
            </w:r>
          </w:p>
        </w:tc>
        <w:tc>
          <w:tcPr>
            <w:tcW w:w="1671" w:type="dxa"/>
            <w:shd w:val="clear" w:color="auto" w:fill="FFFFFF"/>
            <w:tcMar>
              <w:left w:w="85" w:type="dxa"/>
              <w:right w:w="85" w:type="dxa"/>
            </w:tcMar>
          </w:tcPr>
          <w:p w14:paraId="36A1F7D3" w14:textId="77777777" w:rsidR="00D44157" w:rsidRPr="006D1BC4" w:rsidRDefault="00D44157" w:rsidP="005F3628">
            <w:pPr>
              <w:rPr>
                <w:sz w:val="16"/>
                <w:szCs w:val="16"/>
              </w:rPr>
            </w:pPr>
            <w:r>
              <w:rPr>
                <w:sz w:val="16"/>
                <w:szCs w:val="16"/>
              </w:rPr>
              <w:t>0,00</w:t>
            </w:r>
          </w:p>
        </w:tc>
        <w:tc>
          <w:tcPr>
            <w:tcW w:w="2110" w:type="dxa"/>
            <w:shd w:val="clear" w:color="auto" w:fill="FFFFFF"/>
            <w:tcMar>
              <w:left w:w="85" w:type="dxa"/>
              <w:right w:w="85" w:type="dxa"/>
            </w:tcMar>
          </w:tcPr>
          <w:p w14:paraId="7EAD22C7" w14:textId="77777777" w:rsidR="00D44157" w:rsidRPr="006D1BC4" w:rsidRDefault="00D44157" w:rsidP="005F3628">
            <w:pPr>
              <w:rPr>
                <w:sz w:val="16"/>
                <w:szCs w:val="16"/>
              </w:rPr>
            </w:pPr>
            <w:r>
              <w:rPr>
                <w:sz w:val="16"/>
                <w:szCs w:val="16"/>
              </w:rPr>
              <w:t>1,000</w:t>
            </w:r>
          </w:p>
        </w:tc>
        <w:tc>
          <w:tcPr>
            <w:tcW w:w="1559" w:type="dxa"/>
            <w:shd w:val="clear" w:color="auto" w:fill="FFFFFF"/>
            <w:tcMar>
              <w:left w:w="85" w:type="dxa"/>
              <w:right w:w="85" w:type="dxa"/>
            </w:tcMar>
          </w:tcPr>
          <w:p w14:paraId="531C3749" w14:textId="77777777" w:rsidR="00D44157" w:rsidRPr="006D1BC4" w:rsidRDefault="00D44157" w:rsidP="005F3628">
            <w:pPr>
              <w:rPr>
                <w:sz w:val="16"/>
                <w:szCs w:val="16"/>
              </w:rPr>
            </w:pPr>
            <w:r>
              <w:rPr>
                <w:sz w:val="16"/>
                <w:szCs w:val="16"/>
              </w:rPr>
              <w:t>Незначимые</w:t>
            </w:r>
          </w:p>
        </w:tc>
      </w:tr>
      <w:tr w:rsidR="00D44157" w:rsidRPr="006D1BC4" w14:paraId="2CB34F22" w14:textId="77777777" w:rsidTr="005F3628">
        <w:trPr>
          <w:cantSplit/>
          <w:trHeight w:val="173"/>
        </w:trPr>
        <w:tc>
          <w:tcPr>
            <w:tcW w:w="1575" w:type="dxa"/>
            <w:vMerge w:val="restart"/>
            <w:shd w:val="clear" w:color="auto" w:fill="FFFFFF"/>
            <w:tcMar>
              <w:left w:w="85" w:type="dxa"/>
              <w:right w:w="85" w:type="dxa"/>
            </w:tcMar>
          </w:tcPr>
          <w:p w14:paraId="192CAFB8" w14:textId="77777777" w:rsidR="00D44157" w:rsidRPr="006D1BC4" w:rsidRDefault="00D44157" w:rsidP="005F3628">
            <w:pPr>
              <w:rPr>
                <w:sz w:val="16"/>
                <w:szCs w:val="16"/>
              </w:rPr>
            </w:pPr>
            <w:r>
              <w:rPr>
                <w:sz w:val="16"/>
                <w:szCs w:val="16"/>
              </w:rPr>
              <w:t>Стекание по задней стенке носоглотки</w:t>
            </w:r>
          </w:p>
        </w:tc>
        <w:tc>
          <w:tcPr>
            <w:tcW w:w="807" w:type="dxa"/>
            <w:shd w:val="clear" w:color="auto" w:fill="FFFFFF"/>
            <w:tcMar>
              <w:left w:w="85" w:type="dxa"/>
              <w:right w:w="85" w:type="dxa"/>
            </w:tcMar>
          </w:tcPr>
          <w:p w14:paraId="625DD951" w14:textId="77777777" w:rsidR="00D44157" w:rsidRPr="006D1BC4" w:rsidRDefault="00D44157" w:rsidP="005F3628">
            <w:pPr>
              <w:rPr>
                <w:sz w:val="16"/>
                <w:szCs w:val="16"/>
              </w:rPr>
            </w:pPr>
            <w:r>
              <w:rPr>
                <w:sz w:val="16"/>
                <w:szCs w:val="16"/>
              </w:rPr>
              <w:t>В1</w:t>
            </w:r>
          </w:p>
        </w:tc>
        <w:tc>
          <w:tcPr>
            <w:tcW w:w="698" w:type="dxa"/>
            <w:shd w:val="clear" w:color="auto" w:fill="FFFFFF"/>
            <w:tcMar>
              <w:left w:w="85" w:type="dxa"/>
              <w:right w:w="85" w:type="dxa"/>
            </w:tcMar>
          </w:tcPr>
          <w:p w14:paraId="4566F076" w14:textId="77777777" w:rsidR="00D44157" w:rsidRPr="006D1BC4" w:rsidRDefault="00D44157" w:rsidP="005F3628">
            <w:pPr>
              <w:rPr>
                <w:sz w:val="16"/>
                <w:szCs w:val="16"/>
              </w:rPr>
            </w:pPr>
            <w:r>
              <w:rPr>
                <w:sz w:val="16"/>
                <w:szCs w:val="16"/>
              </w:rPr>
              <w:t>64</w:t>
            </w:r>
          </w:p>
        </w:tc>
        <w:tc>
          <w:tcPr>
            <w:tcW w:w="1623" w:type="dxa"/>
            <w:shd w:val="clear" w:color="auto" w:fill="FFFFFF"/>
            <w:tcMar>
              <w:left w:w="85" w:type="dxa"/>
              <w:right w:w="85" w:type="dxa"/>
            </w:tcMar>
          </w:tcPr>
          <w:p w14:paraId="1923B842" w14:textId="77777777" w:rsidR="00D44157" w:rsidRPr="006D1BC4" w:rsidRDefault="00D44157" w:rsidP="005F3628">
            <w:pPr>
              <w:rPr>
                <w:sz w:val="16"/>
                <w:szCs w:val="16"/>
              </w:rPr>
            </w:pPr>
            <w:r>
              <w:rPr>
                <w:sz w:val="16"/>
                <w:szCs w:val="16"/>
              </w:rPr>
              <w:t>2,86</w:t>
            </w:r>
          </w:p>
        </w:tc>
        <w:tc>
          <w:tcPr>
            <w:tcW w:w="666" w:type="dxa"/>
            <w:shd w:val="clear" w:color="auto" w:fill="FFFFFF"/>
            <w:tcMar>
              <w:left w:w="85" w:type="dxa"/>
              <w:right w:w="85" w:type="dxa"/>
            </w:tcMar>
          </w:tcPr>
          <w:p w14:paraId="0A608A35" w14:textId="77777777" w:rsidR="00D44157" w:rsidRPr="006D1BC4" w:rsidRDefault="00D44157" w:rsidP="005F3628">
            <w:pPr>
              <w:rPr>
                <w:sz w:val="16"/>
                <w:szCs w:val="16"/>
              </w:rPr>
            </w:pPr>
            <w:r>
              <w:rPr>
                <w:sz w:val="16"/>
                <w:szCs w:val="16"/>
              </w:rPr>
              <w:t>55</w:t>
            </w:r>
          </w:p>
        </w:tc>
        <w:tc>
          <w:tcPr>
            <w:tcW w:w="1671" w:type="dxa"/>
            <w:shd w:val="clear" w:color="auto" w:fill="FFFFFF"/>
            <w:tcMar>
              <w:left w:w="85" w:type="dxa"/>
              <w:right w:w="85" w:type="dxa"/>
            </w:tcMar>
          </w:tcPr>
          <w:p w14:paraId="34A2B8A5" w14:textId="77777777" w:rsidR="00D44157" w:rsidRPr="006D1BC4" w:rsidRDefault="00D44157" w:rsidP="005F3628">
            <w:pPr>
              <w:rPr>
                <w:sz w:val="16"/>
                <w:szCs w:val="16"/>
              </w:rPr>
            </w:pPr>
            <w:r>
              <w:rPr>
                <w:sz w:val="16"/>
                <w:szCs w:val="16"/>
              </w:rPr>
              <w:t>2,73</w:t>
            </w:r>
          </w:p>
        </w:tc>
        <w:tc>
          <w:tcPr>
            <w:tcW w:w="2110" w:type="dxa"/>
            <w:shd w:val="clear" w:color="auto" w:fill="FFFFFF"/>
            <w:tcMar>
              <w:left w:w="85" w:type="dxa"/>
              <w:right w:w="85" w:type="dxa"/>
            </w:tcMar>
          </w:tcPr>
          <w:p w14:paraId="61925DEB" w14:textId="77777777" w:rsidR="00D44157" w:rsidRPr="006D1BC4" w:rsidRDefault="00D44157" w:rsidP="005F3628">
            <w:pPr>
              <w:rPr>
                <w:sz w:val="16"/>
                <w:szCs w:val="16"/>
              </w:rPr>
            </w:pPr>
            <w:r>
              <w:rPr>
                <w:sz w:val="16"/>
                <w:szCs w:val="16"/>
              </w:rPr>
              <w:t>0,370</w:t>
            </w:r>
          </w:p>
        </w:tc>
        <w:tc>
          <w:tcPr>
            <w:tcW w:w="1559" w:type="dxa"/>
            <w:shd w:val="clear" w:color="auto" w:fill="FFFFFF"/>
            <w:tcMar>
              <w:left w:w="85" w:type="dxa"/>
              <w:right w:w="85" w:type="dxa"/>
            </w:tcMar>
          </w:tcPr>
          <w:p w14:paraId="4729E141" w14:textId="77777777" w:rsidR="00D44157" w:rsidRPr="006D1BC4" w:rsidRDefault="00D44157" w:rsidP="005F3628">
            <w:pPr>
              <w:rPr>
                <w:sz w:val="16"/>
                <w:szCs w:val="16"/>
              </w:rPr>
            </w:pPr>
            <w:r>
              <w:rPr>
                <w:sz w:val="16"/>
                <w:szCs w:val="16"/>
              </w:rPr>
              <w:t>Незначимые</w:t>
            </w:r>
          </w:p>
        </w:tc>
      </w:tr>
      <w:tr w:rsidR="00D44157" w:rsidRPr="006D1BC4" w14:paraId="5947CA7B" w14:textId="77777777" w:rsidTr="005F3628">
        <w:trPr>
          <w:cantSplit/>
          <w:trHeight w:val="173"/>
        </w:trPr>
        <w:tc>
          <w:tcPr>
            <w:tcW w:w="1575" w:type="dxa"/>
            <w:vMerge/>
            <w:shd w:val="clear" w:color="auto" w:fill="FFFFFF"/>
            <w:tcMar>
              <w:left w:w="85" w:type="dxa"/>
              <w:right w:w="85" w:type="dxa"/>
            </w:tcMar>
          </w:tcPr>
          <w:p w14:paraId="75EFA0FE" w14:textId="77777777" w:rsidR="00D44157" w:rsidRPr="006D1BC4" w:rsidRDefault="00D44157" w:rsidP="005F3628">
            <w:pPr>
              <w:rPr>
                <w:sz w:val="16"/>
                <w:szCs w:val="16"/>
              </w:rPr>
            </w:pPr>
          </w:p>
        </w:tc>
        <w:tc>
          <w:tcPr>
            <w:tcW w:w="807" w:type="dxa"/>
            <w:shd w:val="clear" w:color="auto" w:fill="FFFFFF"/>
            <w:tcMar>
              <w:left w:w="85" w:type="dxa"/>
              <w:right w:w="85" w:type="dxa"/>
            </w:tcMar>
          </w:tcPr>
          <w:p w14:paraId="050021B8" w14:textId="77777777" w:rsidR="00D44157" w:rsidRPr="006D1BC4" w:rsidRDefault="00D44157" w:rsidP="005F3628">
            <w:pPr>
              <w:rPr>
                <w:sz w:val="16"/>
                <w:szCs w:val="16"/>
              </w:rPr>
            </w:pPr>
            <w:r>
              <w:rPr>
                <w:sz w:val="16"/>
                <w:szCs w:val="16"/>
              </w:rPr>
              <w:t>В2</w:t>
            </w:r>
          </w:p>
        </w:tc>
        <w:tc>
          <w:tcPr>
            <w:tcW w:w="698" w:type="dxa"/>
            <w:shd w:val="clear" w:color="auto" w:fill="FFFFFF"/>
            <w:tcMar>
              <w:left w:w="85" w:type="dxa"/>
              <w:right w:w="85" w:type="dxa"/>
            </w:tcMar>
          </w:tcPr>
          <w:p w14:paraId="711A439E" w14:textId="77777777" w:rsidR="00D44157" w:rsidRPr="006D1BC4" w:rsidRDefault="00D44157" w:rsidP="005F3628">
            <w:pPr>
              <w:rPr>
                <w:sz w:val="16"/>
                <w:szCs w:val="16"/>
              </w:rPr>
            </w:pPr>
            <w:r>
              <w:rPr>
                <w:sz w:val="16"/>
                <w:szCs w:val="16"/>
              </w:rPr>
              <w:t>63</w:t>
            </w:r>
          </w:p>
        </w:tc>
        <w:tc>
          <w:tcPr>
            <w:tcW w:w="1623" w:type="dxa"/>
            <w:shd w:val="clear" w:color="auto" w:fill="FFFFFF"/>
            <w:tcMar>
              <w:left w:w="85" w:type="dxa"/>
              <w:right w:w="85" w:type="dxa"/>
            </w:tcMar>
          </w:tcPr>
          <w:p w14:paraId="17A0F1F2" w14:textId="77777777" w:rsidR="00D44157" w:rsidRPr="006D1BC4" w:rsidRDefault="00D44157" w:rsidP="005F3628">
            <w:pPr>
              <w:rPr>
                <w:sz w:val="16"/>
                <w:szCs w:val="16"/>
              </w:rPr>
            </w:pPr>
            <w:r>
              <w:rPr>
                <w:sz w:val="16"/>
                <w:szCs w:val="16"/>
              </w:rPr>
              <w:t>0,83</w:t>
            </w:r>
          </w:p>
        </w:tc>
        <w:tc>
          <w:tcPr>
            <w:tcW w:w="666" w:type="dxa"/>
            <w:shd w:val="clear" w:color="auto" w:fill="FFFFFF"/>
            <w:tcMar>
              <w:left w:w="85" w:type="dxa"/>
              <w:right w:w="85" w:type="dxa"/>
            </w:tcMar>
          </w:tcPr>
          <w:p w14:paraId="146E99F9" w14:textId="77777777" w:rsidR="00D44157" w:rsidRPr="006D1BC4" w:rsidRDefault="00D44157" w:rsidP="005F3628">
            <w:pPr>
              <w:rPr>
                <w:sz w:val="16"/>
                <w:szCs w:val="16"/>
              </w:rPr>
            </w:pPr>
            <w:r>
              <w:rPr>
                <w:sz w:val="16"/>
                <w:szCs w:val="16"/>
              </w:rPr>
              <w:t>55</w:t>
            </w:r>
          </w:p>
        </w:tc>
        <w:tc>
          <w:tcPr>
            <w:tcW w:w="1671" w:type="dxa"/>
            <w:shd w:val="clear" w:color="auto" w:fill="FFFFFF"/>
            <w:tcMar>
              <w:left w:w="85" w:type="dxa"/>
              <w:right w:w="85" w:type="dxa"/>
            </w:tcMar>
          </w:tcPr>
          <w:p w14:paraId="72159CC0" w14:textId="77777777" w:rsidR="00D44157" w:rsidRPr="006D1BC4" w:rsidRDefault="00D44157" w:rsidP="005F3628">
            <w:pPr>
              <w:rPr>
                <w:sz w:val="16"/>
                <w:szCs w:val="16"/>
              </w:rPr>
            </w:pPr>
            <w:r>
              <w:rPr>
                <w:sz w:val="16"/>
                <w:szCs w:val="16"/>
              </w:rPr>
              <w:t>1,33</w:t>
            </w:r>
          </w:p>
        </w:tc>
        <w:tc>
          <w:tcPr>
            <w:tcW w:w="2110" w:type="dxa"/>
            <w:shd w:val="clear" w:color="auto" w:fill="FFFFFF"/>
            <w:tcMar>
              <w:left w:w="85" w:type="dxa"/>
              <w:right w:w="85" w:type="dxa"/>
            </w:tcMar>
          </w:tcPr>
          <w:p w14:paraId="422B73E7" w14:textId="77777777" w:rsidR="00D44157" w:rsidRPr="006D1BC4" w:rsidRDefault="00D44157" w:rsidP="005F3628">
            <w:pPr>
              <w:rPr>
                <w:sz w:val="16"/>
                <w:szCs w:val="16"/>
              </w:rPr>
            </w:pPr>
            <w:r>
              <w:rPr>
                <w:sz w:val="16"/>
                <w:szCs w:val="16"/>
              </w:rPr>
              <w:t>0,000</w:t>
            </w:r>
          </w:p>
        </w:tc>
        <w:tc>
          <w:tcPr>
            <w:tcW w:w="1559" w:type="dxa"/>
            <w:shd w:val="clear" w:color="auto" w:fill="FFFFFF"/>
            <w:tcMar>
              <w:left w:w="85" w:type="dxa"/>
              <w:right w:w="85" w:type="dxa"/>
            </w:tcMar>
          </w:tcPr>
          <w:p w14:paraId="180A2C07" w14:textId="77777777" w:rsidR="00D44157" w:rsidRPr="006D1BC4" w:rsidRDefault="00D44157" w:rsidP="005F3628">
            <w:pPr>
              <w:rPr>
                <w:sz w:val="16"/>
                <w:szCs w:val="16"/>
              </w:rPr>
            </w:pPr>
            <w:r>
              <w:rPr>
                <w:sz w:val="16"/>
                <w:szCs w:val="16"/>
              </w:rPr>
              <w:t>Значимые</w:t>
            </w:r>
          </w:p>
        </w:tc>
      </w:tr>
      <w:tr w:rsidR="00D44157" w:rsidRPr="006D1BC4" w14:paraId="1B7442E0" w14:textId="77777777" w:rsidTr="005F3628">
        <w:trPr>
          <w:cantSplit/>
          <w:trHeight w:val="168"/>
        </w:trPr>
        <w:tc>
          <w:tcPr>
            <w:tcW w:w="1575" w:type="dxa"/>
            <w:vMerge/>
            <w:shd w:val="clear" w:color="auto" w:fill="FFFFFF"/>
            <w:tcMar>
              <w:left w:w="85" w:type="dxa"/>
              <w:right w:w="85" w:type="dxa"/>
            </w:tcMar>
          </w:tcPr>
          <w:p w14:paraId="322FA488" w14:textId="77777777" w:rsidR="00D44157" w:rsidRPr="006D1BC4" w:rsidRDefault="00D44157" w:rsidP="005F3628">
            <w:pPr>
              <w:rPr>
                <w:sz w:val="16"/>
                <w:szCs w:val="16"/>
              </w:rPr>
            </w:pPr>
          </w:p>
        </w:tc>
        <w:tc>
          <w:tcPr>
            <w:tcW w:w="807" w:type="dxa"/>
            <w:shd w:val="clear" w:color="auto" w:fill="FFFFFF"/>
            <w:tcMar>
              <w:left w:w="85" w:type="dxa"/>
              <w:right w:w="85" w:type="dxa"/>
            </w:tcMar>
          </w:tcPr>
          <w:p w14:paraId="68C7B2B2" w14:textId="77777777" w:rsidR="00D44157" w:rsidRPr="006D1BC4" w:rsidRDefault="00D44157" w:rsidP="005F3628">
            <w:pPr>
              <w:rPr>
                <w:sz w:val="16"/>
                <w:szCs w:val="16"/>
              </w:rPr>
            </w:pPr>
            <w:r>
              <w:rPr>
                <w:sz w:val="16"/>
                <w:szCs w:val="16"/>
              </w:rPr>
              <w:t>В3</w:t>
            </w:r>
          </w:p>
        </w:tc>
        <w:tc>
          <w:tcPr>
            <w:tcW w:w="698" w:type="dxa"/>
            <w:shd w:val="clear" w:color="auto" w:fill="FFFFFF"/>
            <w:tcMar>
              <w:left w:w="85" w:type="dxa"/>
              <w:right w:w="85" w:type="dxa"/>
            </w:tcMar>
          </w:tcPr>
          <w:p w14:paraId="501F46D5" w14:textId="77777777" w:rsidR="00D44157" w:rsidRPr="006D1BC4" w:rsidRDefault="00D44157" w:rsidP="005F3628">
            <w:pPr>
              <w:rPr>
                <w:sz w:val="16"/>
                <w:szCs w:val="16"/>
              </w:rPr>
            </w:pPr>
            <w:r>
              <w:rPr>
                <w:sz w:val="16"/>
                <w:szCs w:val="16"/>
              </w:rPr>
              <w:t>58</w:t>
            </w:r>
          </w:p>
        </w:tc>
        <w:tc>
          <w:tcPr>
            <w:tcW w:w="1623" w:type="dxa"/>
            <w:shd w:val="clear" w:color="auto" w:fill="FFFFFF"/>
            <w:tcMar>
              <w:left w:w="85" w:type="dxa"/>
              <w:right w:w="85" w:type="dxa"/>
            </w:tcMar>
          </w:tcPr>
          <w:p w14:paraId="5AED2FFF" w14:textId="77777777" w:rsidR="00D44157" w:rsidRPr="006D1BC4" w:rsidRDefault="00D44157" w:rsidP="005F3628">
            <w:pPr>
              <w:rPr>
                <w:sz w:val="16"/>
                <w:szCs w:val="16"/>
              </w:rPr>
            </w:pPr>
            <w:r>
              <w:rPr>
                <w:sz w:val="16"/>
                <w:szCs w:val="16"/>
              </w:rPr>
              <w:t>0,00</w:t>
            </w:r>
          </w:p>
        </w:tc>
        <w:tc>
          <w:tcPr>
            <w:tcW w:w="666" w:type="dxa"/>
            <w:shd w:val="clear" w:color="auto" w:fill="FFFFFF"/>
            <w:tcMar>
              <w:left w:w="85" w:type="dxa"/>
              <w:right w:w="85" w:type="dxa"/>
            </w:tcMar>
          </w:tcPr>
          <w:p w14:paraId="58572293" w14:textId="77777777" w:rsidR="00D44157" w:rsidRPr="006D1BC4" w:rsidRDefault="00D44157" w:rsidP="005F3628">
            <w:pPr>
              <w:rPr>
                <w:sz w:val="16"/>
                <w:szCs w:val="16"/>
              </w:rPr>
            </w:pPr>
            <w:r>
              <w:rPr>
                <w:sz w:val="16"/>
                <w:szCs w:val="16"/>
              </w:rPr>
              <w:t>49</w:t>
            </w:r>
          </w:p>
        </w:tc>
        <w:tc>
          <w:tcPr>
            <w:tcW w:w="1671" w:type="dxa"/>
            <w:shd w:val="clear" w:color="auto" w:fill="FFFFFF"/>
            <w:tcMar>
              <w:left w:w="85" w:type="dxa"/>
              <w:right w:w="85" w:type="dxa"/>
            </w:tcMar>
          </w:tcPr>
          <w:p w14:paraId="21D6528C" w14:textId="77777777" w:rsidR="00D44157" w:rsidRPr="006D1BC4" w:rsidRDefault="00D44157" w:rsidP="005F3628">
            <w:pPr>
              <w:rPr>
                <w:sz w:val="16"/>
                <w:szCs w:val="16"/>
              </w:rPr>
            </w:pPr>
            <w:r>
              <w:rPr>
                <w:sz w:val="16"/>
                <w:szCs w:val="16"/>
              </w:rPr>
              <w:t>0,00</w:t>
            </w:r>
          </w:p>
        </w:tc>
        <w:tc>
          <w:tcPr>
            <w:tcW w:w="2110" w:type="dxa"/>
            <w:shd w:val="clear" w:color="auto" w:fill="FFFFFF"/>
            <w:tcMar>
              <w:left w:w="85" w:type="dxa"/>
              <w:right w:w="85" w:type="dxa"/>
            </w:tcMar>
          </w:tcPr>
          <w:p w14:paraId="362982FA" w14:textId="77777777" w:rsidR="00D44157" w:rsidRPr="006D1BC4" w:rsidRDefault="00D44157" w:rsidP="005F3628">
            <w:pPr>
              <w:rPr>
                <w:sz w:val="16"/>
                <w:szCs w:val="16"/>
              </w:rPr>
            </w:pPr>
            <w:r>
              <w:rPr>
                <w:sz w:val="16"/>
                <w:szCs w:val="16"/>
              </w:rPr>
              <w:t>1,000</w:t>
            </w:r>
          </w:p>
        </w:tc>
        <w:tc>
          <w:tcPr>
            <w:tcW w:w="1559" w:type="dxa"/>
            <w:shd w:val="clear" w:color="auto" w:fill="FFFFFF"/>
            <w:tcMar>
              <w:left w:w="85" w:type="dxa"/>
              <w:right w:w="85" w:type="dxa"/>
            </w:tcMar>
          </w:tcPr>
          <w:p w14:paraId="71927A8C" w14:textId="77777777" w:rsidR="00D44157" w:rsidRPr="006D1BC4" w:rsidRDefault="00D44157" w:rsidP="005F3628">
            <w:pPr>
              <w:rPr>
                <w:sz w:val="16"/>
                <w:szCs w:val="16"/>
              </w:rPr>
            </w:pPr>
            <w:r>
              <w:rPr>
                <w:sz w:val="16"/>
                <w:szCs w:val="16"/>
              </w:rPr>
              <w:t>Незначимые</w:t>
            </w:r>
          </w:p>
        </w:tc>
      </w:tr>
      <w:tr w:rsidR="00D44157" w:rsidRPr="006D1BC4" w14:paraId="235DBD48" w14:textId="77777777" w:rsidTr="005F3628">
        <w:trPr>
          <w:cantSplit/>
          <w:trHeight w:val="271"/>
        </w:trPr>
        <w:tc>
          <w:tcPr>
            <w:tcW w:w="1575" w:type="dxa"/>
            <w:vMerge/>
            <w:tcBorders>
              <w:bottom w:val="single" w:sz="4" w:space="0" w:color="auto"/>
            </w:tcBorders>
            <w:shd w:val="clear" w:color="auto" w:fill="FFFFFF"/>
            <w:tcMar>
              <w:left w:w="85" w:type="dxa"/>
              <w:right w:w="85" w:type="dxa"/>
            </w:tcMar>
          </w:tcPr>
          <w:p w14:paraId="56364226" w14:textId="77777777" w:rsidR="00D44157" w:rsidRPr="006D1BC4" w:rsidRDefault="00D44157" w:rsidP="005F3628">
            <w:pPr>
              <w:rPr>
                <w:sz w:val="16"/>
                <w:szCs w:val="16"/>
              </w:rPr>
            </w:pPr>
          </w:p>
        </w:tc>
        <w:tc>
          <w:tcPr>
            <w:tcW w:w="807" w:type="dxa"/>
            <w:tcBorders>
              <w:bottom w:val="single" w:sz="4" w:space="0" w:color="auto"/>
            </w:tcBorders>
            <w:shd w:val="clear" w:color="auto" w:fill="FFFFFF"/>
            <w:tcMar>
              <w:left w:w="85" w:type="dxa"/>
              <w:right w:w="85" w:type="dxa"/>
            </w:tcMar>
          </w:tcPr>
          <w:p w14:paraId="7A947D2C" w14:textId="77777777" w:rsidR="00D44157" w:rsidRPr="006D1BC4" w:rsidRDefault="00D44157" w:rsidP="005F3628">
            <w:pPr>
              <w:rPr>
                <w:sz w:val="16"/>
                <w:szCs w:val="16"/>
              </w:rPr>
            </w:pPr>
            <w:r>
              <w:rPr>
                <w:sz w:val="16"/>
                <w:szCs w:val="16"/>
              </w:rPr>
              <w:t>В4</w:t>
            </w:r>
          </w:p>
        </w:tc>
        <w:tc>
          <w:tcPr>
            <w:tcW w:w="698" w:type="dxa"/>
            <w:tcBorders>
              <w:bottom w:val="single" w:sz="4" w:space="0" w:color="auto"/>
            </w:tcBorders>
            <w:shd w:val="clear" w:color="auto" w:fill="FFFFFF"/>
            <w:tcMar>
              <w:left w:w="85" w:type="dxa"/>
              <w:right w:w="85" w:type="dxa"/>
            </w:tcMar>
          </w:tcPr>
          <w:p w14:paraId="2D930B3B" w14:textId="77777777" w:rsidR="00D44157" w:rsidRPr="006D1BC4" w:rsidRDefault="00D44157" w:rsidP="005F3628">
            <w:pPr>
              <w:rPr>
                <w:sz w:val="16"/>
                <w:szCs w:val="16"/>
              </w:rPr>
            </w:pPr>
            <w:r>
              <w:rPr>
                <w:sz w:val="16"/>
                <w:szCs w:val="16"/>
              </w:rPr>
              <w:t>58</w:t>
            </w:r>
          </w:p>
        </w:tc>
        <w:tc>
          <w:tcPr>
            <w:tcW w:w="1623" w:type="dxa"/>
            <w:tcBorders>
              <w:bottom w:val="single" w:sz="4" w:space="0" w:color="auto"/>
            </w:tcBorders>
            <w:shd w:val="clear" w:color="auto" w:fill="FFFFFF"/>
            <w:tcMar>
              <w:left w:w="85" w:type="dxa"/>
              <w:right w:w="85" w:type="dxa"/>
            </w:tcMar>
          </w:tcPr>
          <w:p w14:paraId="7D228EDA" w14:textId="77777777" w:rsidR="00D44157" w:rsidRPr="006D1BC4" w:rsidRDefault="00D44157" w:rsidP="005F3628">
            <w:pPr>
              <w:rPr>
                <w:sz w:val="16"/>
                <w:szCs w:val="16"/>
              </w:rPr>
            </w:pPr>
            <w:r>
              <w:rPr>
                <w:sz w:val="16"/>
                <w:szCs w:val="16"/>
              </w:rPr>
              <w:t>0,00</w:t>
            </w:r>
          </w:p>
        </w:tc>
        <w:tc>
          <w:tcPr>
            <w:tcW w:w="666" w:type="dxa"/>
            <w:tcBorders>
              <w:bottom w:val="single" w:sz="4" w:space="0" w:color="auto"/>
            </w:tcBorders>
            <w:shd w:val="clear" w:color="auto" w:fill="FFFFFF"/>
            <w:tcMar>
              <w:left w:w="85" w:type="dxa"/>
              <w:right w:w="85" w:type="dxa"/>
            </w:tcMar>
          </w:tcPr>
          <w:p w14:paraId="31CF38C8" w14:textId="77777777" w:rsidR="00D44157" w:rsidRPr="006D1BC4" w:rsidRDefault="00D44157" w:rsidP="005F3628">
            <w:pPr>
              <w:rPr>
                <w:sz w:val="16"/>
                <w:szCs w:val="16"/>
              </w:rPr>
            </w:pPr>
            <w:r>
              <w:rPr>
                <w:sz w:val="16"/>
                <w:szCs w:val="16"/>
              </w:rPr>
              <w:t>49</w:t>
            </w:r>
          </w:p>
        </w:tc>
        <w:tc>
          <w:tcPr>
            <w:tcW w:w="1671" w:type="dxa"/>
            <w:tcBorders>
              <w:bottom w:val="single" w:sz="4" w:space="0" w:color="auto"/>
            </w:tcBorders>
            <w:shd w:val="clear" w:color="auto" w:fill="FFFFFF"/>
            <w:tcMar>
              <w:left w:w="85" w:type="dxa"/>
              <w:right w:w="85" w:type="dxa"/>
            </w:tcMar>
          </w:tcPr>
          <w:p w14:paraId="75C22699" w14:textId="77777777" w:rsidR="00D44157" w:rsidRPr="006D1BC4" w:rsidRDefault="00D44157" w:rsidP="005F3628">
            <w:pPr>
              <w:rPr>
                <w:sz w:val="16"/>
                <w:szCs w:val="16"/>
              </w:rPr>
            </w:pPr>
            <w:r>
              <w:rPr>
                <w:sz w:val="16"/>
                <w:szCs w:val="16"/>
              </w:rPr>
              <w:t>0,00</w:t>
            </w:r>
          </w:p>
        </w:tc>
        <w:tc>
          <w:tcPr>
            <w:tcW w:w="2110" w:type="dxa"/>
            <w:tcBorders>
              <w:bottom w:val="single" w:sz="4" w:space="0" w:color="auto"/>
            </w:tcBorders>
            <w:shd w:val="clear" w:color="auto" w:fill="FFFFFF"/>
            <w:tcMar>
              <w:left w:w="85" w:type="dxa"/>
              <w:right w:w="85" w:type="dxa"/>
            </w:tcMar>
          </w:tcPr>
          <w:p w14:paraId="344FA289" w14:textId="77777777" w:rsidR="00D44157" w:rsidRPr="006D1BC4" w:rsidRDefault="00D44157" w:rsidP="005F3628">
            <w:pPr>
              <w:rPr>
                <w:sz w:val="16"/>
                <w:szCs w:val="16"/>
              </w:rPr>
            </w:pPr>
            <w:r>
              <w:rPr>
                <w:sz w:val="16"/>
                <w:szCs w:val="16"/>
              </w:rPr>
              <w:t>1,000</w:t>
            </w:r>
          </w:p>
        </w:tc>
        <w:tc>
          <w:tcPr>
            <w:tcW w:w="1559" w:type="dxa"/>
            <w:tcBorders>
              <w:bottom w:val="single" w:sz="4" w:space="0" w:color="auto"/>
            </w:tcBorders>
            <w:shd w:val="clear" w:color="auto" w:fill="FFFFFF"/>
            <w:tcMar>
              <w:left w:w="85" w:type="dxa"/>
              <w:right w:w="85" w:type="dxa"/>
            </w:tcMar>
          </w:tcPr>
          <w:p w14:paraId="6E1B2B6C" w14:textId="77777777" w:rsidR="00D44157" w:rsidRPr="006D1BC4" w:rsidRDefault="00D44157" w:rsidP="005F3628">
            <w:pPr>
              <w:rPr>
                <w:sz w:val="16"/>
                <w:szCs w:val="16"/>
              </w:rPr>
            </w:pPr>
            <w:r>
              <w:rPr>
                <w:sz w:val="16"/>
                <w:szCs w:val="16"/>
              </w:rPr>
              <w:t>Незначимые</w:t>
            </w:r>
          </w:p>
        </w:tc>
      </w:tr>
    </w:tbl>
    <w:p w14:paraId="2249AB72" w14:textId="77777777" w:rsidR="00D44157" w:rsidRDefault="00D44157" w:rsidP="00D44157">
      <w:pPr>
        <w:spacing w:before="60" w:after="120"/>
        <w:rPr>
          <w:sz w:val="16"/>
          <w:szCs w:val="22"/>
        </w:rPr>
        <w:sectPr w:rsidR="00D44157" w:rsidSect="00D44157">
          <w:pgSz w:w="12240" w:h="16834"/>
          <w:pgMar w:top="993" w:right="680" w:bottom="1135" w:left="851" w:header="567" w:footer="567" w:gutter="0"/>
          <w:cols w:space="347"/>
          <w:noEndnote/>
          <w:docGrid w:linePitch="360"/>
        </w:sectPr>
      </w:pPr>
      <w:r>
        <w:rPr>
          <w:sz w:val="16"/>
          <w:szCs w:val="22"/>
        </w:rPr>
        <w:t>*Вывод сделан при уровне значимости 0,05 (P &lt; 0.05).</w:t>
      </w:r>
    </w:p>
    <w:p w14:paraId="7BF9482D" w14:textId="65999791" w:rsidR="00EB50F8" w:rsidRPr="006D1BC4" w:rsidRDefault="00EB50F8" w:rsidP="00EB50F8">
      <w:pPr>
        <w:ind w:firstLine="284"/>
      </w:pPr>
      <w:r>
        <w:t>Когда врач оценивал стекание по задней стенке носоглотки у пациентов с вирусным РС, в обеих группах были обнаружены сравнимые параметры выраженности во время визита В1: 2,00 балла в основной группе и 1,79 балла в контрольной группе (</w:t>
      </w:r>
      <w:hyperlink w:anchor="bookmark10" w:tooltip="Текущий документ">
        <w:r>
          <w:rPr>
            <w:color w:val="2B7CA5"/>
          </w:rPr>
          <w:t>таблица 2</w:t>
        </w:r>
      </w:hyperlink>
      <w:r>
        <w:t>). В течение лечения на визите В2 регистрировали регрессию стекания по задней стенке носоглотки у пациентов обеих групп: с 2,00 до 1,02 балла в основной и с 1,79 до 1,51 в контрольной. Во время визита В3 отмечалась дальнейшая регрессия стекания по задней стенке носоглотки у пациентов обеих групп: 0,23 балла в основной группе и 0,19 балла в контрольной группе. На визите В4 выраженность стекания по задней стенке носоглотки составляла 0,03 балла в основной группе и 0,00 балла в контрольной группе.</w:t>
      </w:r>
    </w:p>
    <w:p w14:paraId="2552D911" w14:textId="77777777" w:rsidR="00EB50F8" w:rsidRPr="00AE2A69" w:rsidRDefault="00EB50F8" w:rsidP="00EB50F8">
      <w:pPr>
        <w:ind w:firstLine="284"/>
        <w:rPr>
          <w:spacing w:val="-4"/>
        </w:rPr>
      </w:pPr>
      <w:r w:rsidRPr="00AE2A69">
        <w:rPr>
          <w:spacing w:val="-4"/>
        </w:rPr>
        <w:t>Показаны значимые различия на визите В2 (p &lt; 0,05) и незначимые различия между группами на визите В1, В3 и В4 (p &gt; 0,05).</w:t>
      </w:r>
    </w:p>
    <w:p w14:paraId="765E183F" w14:textId="77777777" w:rsidR="00EB50F8" w:rsidRPr="006D1BC4" w:rsidRDefault="00EB50F8" w:rsidP="00EB50F8">
      <w:pPr>
        <w:ind w:firstLine="284"/>
      </w:pPr>
      <w:r>
        <w:t xml:space="preserve">В </w:t>
      </w:r>
      <w:hyperlink w:anchor="bookmark12" w:tooltip="Текущий документ">
        <w:r>
          <w:rPr>
            <w:color w:val="2B7CA5"/>
          </w:rPr>
          <w:t>таблице 3</w:t>
        </w:r>
      </w:hyperlink>
      <w:r>
        <w:t xml:space="preserve"> представлена выраженность основных симптомов в баллах, оцениваемых врачом по 4-бальной шкале у пациентов с поствирусным риносинуситом.</w:t>
      </w:r>
    </w:p>
    <w:p w14:paraId="12D51623" w14:textId="1FA3026E" w:rsidR="00EB50F8" w:rsidRPr="00AE2A69" w:rsidRDefault="00EB50F8" w:rsidP="00EB50F8">
      <w:pPr>
        <w:ind w:firstLine="284"/>
        <w:rPr>
          <w:spacing w:val="-2"/>
        </w:rPr>
      </w:pPr>
      <w:r w:rsidRPr="00AE2A69">
        <w:rPr>
          <w:spacing w:val="-2"/>
        </w:rPr>
        <w:t>Когда врач оценивал симптом</w:t>
      </w:r>
      <w:r w:rsidR="00A46057">
        <w:rPr>
          <w:spacing w:val="-2"/>
        </w:rPr>
        <w:t xml:space="preserve"> выделения из носа (ринорею), в </w:t>
      </w:r>
      <w:r w:rsidRPr="00AE2A69">
        <w:rPr>
          <w:spacing w:val="-2"/>
        </w:rPr>
        <w:t>обеих группах были обнаружены сравнимые параметры выраженности во время визита В1: 3,88 балла в основной группе и 3,87 балла в контрольной группе. В течение лечения на визите В2 регистрировали регрессию ринореи у пациентов обеих групп: с 3,88 до 1,49 балла в основной и с 3,87 до 2,29 в контрольной. Во время визита В3 отмечалась дальнейшая регрессия ринореи у пациентов обеих групп: 0,12 балла в основной группе и 0,27 балла в контрольной группе. На визите В4 выраженность ринореи составляла 0,00 балла в основной группе и 0,00 балла в контрольной группе.</w:t>
      </w:r>
    </w:p>
    <w:p w14:paraId="13BEE9E6" w14:textId="77777777" w:rsidR="00EB50F8" w:rsidRPr="006D1BC4" w:rsidRDefault="00EB50F8" w:rsidP="00EB50F8">
      <w:pPr>
        <w:ind w:firstLine="284"/>
      </w:pPr>
      <w:r>
        <w:t>Сравнение регрессии симптомов ринореи между группами показало значимые различия на визите В2 (p &lt; 0,05) и незначимые различия между группами на визитах В1, В3 та В4 (p &gt; 0,05).</w:t>
      </w:r>
    </w:p>
    <w:p w14:paraId="1E1FE457" w14:textId="77777777" w:rsidR="00EB50F8" w:rsidRPr="006D1BC4" w:rsidRDefault="00EB50F8" w:rsidP="00EB50F8">
      <w:pPr>
        <w:ind w:firstLine="284"/>
      </w:pPr>
      <w:r>
        <w:t>Когда врач оценивал симптом заложенности носа, в обеих группах были обнаружены сравнимые параметры выраженности во время визита В1: 3,77 балла в основной группе и 3,78 в контрольной группе. В течение лечения на визите В2 регистрировали регрессию заложенности носа у пациентов обеих групп: с 3,77 до 1,40 балла в основной и с 3,78 до 2,27 в контрольной. Во время визита В3 отмечалась дальнейшая регрессия заложенности носа у пациентов обеих групп: 0,07 балла в основной группе и 0,18 балла в контрольной группе. На визите В4 выраженность заложенности носа составляла 0,00 балла в основной группе и 0,00 балла в контрольной группе. Существует тенденция к более выраженной регрессии симптомов в основной группе. Показаны значимые различия на визите В2 (p &lt; 0,05) и незначимые отличия между группами на визите В1, В3 и В4 (р &gt; 0,05).</w:t>
      </w:r>
    </w:p>
    <w:bookmarkEnd w:id="0"/>
    <w:p w14:paraId="0306D0CF" w14:textId="77777777" w:rsidR="00887103" w:rsidRPr="006D1BC4" w:rsidRDefault="00737FC5" w:rsidP="000F4D1F">
      <w:pPr>
        <w:ind w:firstLine="284"/>
      </w:pPr>
      <w:r>
        <w:t>Когда врач оценивал стекание по задней стенке носоглотки у пациентов с поствирусным РС в обеих группах были обнаружены сравнимые параметры выраженности во время визита В1: 2,86 балла в основной группе и 2,73 в контрольной группе. В течение лечения на визите В2 регистрировали регрессию стекания по задней стенке носоглотки у пациентов обеих групп: с 2,86 до 0,83 балла в основной и с 2,73 до 1,33 в контрольной. Во время визитов В3 и В4 отмечалась дальнейшая регрессия стекания по задней стенке носоглотки у пациентов обеих групп: 0,00 балла в основной группе и 0,00 балла в контрольной группе.</w:t>
      </w:r>
    </w:p>
    <w:p w14:paraId="3F3E39FE" w14:textId="70B3B0BE" w:rsidR="00D44157" w:rsidRDefault="00D44157" w:rsidP="000F4D1F">
      <w:pPr>
        <w:ind w:firstLine="284"/>
        <w:rPr>
          <w:noProof/>
          <w:color w:val="231F20"/>
          <w:lang w:eastAsia="ru-RU" w:bidi="ar-SA"/>
        </w:rPr>
        <w:sectPr w:rsidR="00D44157" w:rsidSect="00C95B3B">
          <w:type w:val="continuous"/>
          <w:pgSz w:w="12240" w:h="16834"/>
          <w:pgMar w:top="993" w:right="680" w:bottom="709" w:left="851" w:header="680" w:footer="624" w:gutter="0"/>
          <w:cols w:num="2" w:space="349"/>
          <w:noEndnote/>
          <w:docGrid w:linePitch="360"/>
        </w:sectPr>
      </w:pPr>
      <w:r w:rsidRPr="00D44157">
        <w:rPr>
          <w:noProof/>
          <w:color w:val="231F20"/>
          <w:lang w:eastAsia="ru-RU" w:bidi="ar-SA"/>
        </w:rPr>
        <w:t xml:space="preserve"> </w:t>
      </w:r>
    </w:p>
    <w:p w14:paraId="05C67893" w14:textId="77777777" w:rsidR="00D44157" w:rsidRDefault="00D44157" w:rsidP="00D44157">
      <w:pPr>
        <w:ind w:firstLine="284"/>
        <w:rPr>
          <w:b/>
          <w:bCs/>
        </w:rPr>
      </w:pPr>
      <w:r>
        <w:rPr>
          <w:noProof/>
          <w:color w:val="231F20"/>
          <w:lang w:eastAsia="ru-RU" w:bidi="ar-SA"/>
        </w:rPr>
        <w:drawing>
          <wp:inline distT="0" distB="0" distL="0" distR="0" wp14:anchorId="11C74127" wp14:editId="0B609993">
            <wp:extent cx="6267450" cy="3045384"/>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_2.w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19828" cy="3070835"/>
                    </a:xfrm>
                    <a:prstGeom prst="rect">
                      <a:avLst/>
                    </a:prstGeom>
                  </pic:spPr>
                </pic:pic>
              </a:graphicData>
            </a:graphic>
          </wp:inline>
        </w:drawing>
      </w:r>
    </w:p>
    <w:p w14:paraId="6CBBA261" w14:textId="0BB6FAF6" w:rsidR="00D44157" w:rsidRDefault="00D44157" w:rsidP="00AE2A69">
      <w:pPr>
        <w:ind w:firstLine="284"/>
        <w:jc w:val="center"/>
      </w:pPr>
      <w:r>
        <w:rPr>
          <w:b/>
          <w:bCs/>
        </w:rPr>
        <w:t>Рис. 2</w:t>
      </w:r>
      <w:r>
        <w:t xml:space="preserve"> Самооценка симптомов в баллах у пациентов с вирусным РС.</w:t>
      </w:r>
    </w:p>
    <w:p w14:paraId="2AE46A67" w14:textId="77777777" w:rsidR="00D44157" w:rsidRDefault="00D44157" w:rsidP="000F4D1F">
      <w:pPr>
        <w:ind w:firstLine="284"/>
        <w:sectPr w:rsidR="00D44157" w:rsidSect="00D44157">
          <w:type w:val="continuous"/>
          <w:pgSz w:w="12240" w:h="16834"/>
          <w:pgMar w:top="993" w:right="680" w:bottom="709" w:left="851" w:header="680" w:footer="624" w:gutter="0"/>
          <w:cols w:space="349"/>
          <w:noEndnote/>
          <w:docGrid w:linePitch="360"/>
        </w:sectPr>
      </w:pPr>
    </w:p>
    <w:p w14:paraId="18308EEC" w14:textId="1AFB012F" w:rsidR="004A781E" w:rsidRPr="006D1BC4" w:rsidRDefault="00AA2E39" w:rsidP="004A781E">
      <w:pPr>
        <w:jc w:val="center"/>
      </w:pPr>
      <w:r>
        <w:rPr>
          <w:noProof/>
          <w:lang w:eastAsia="ru-RU" w:bidi="ar-SA"/>
        </w:rPr>
        <w:lastRenderedPageBreak/>
        <w:drawing>
          <wp:inline distT="0" distB="0" distL="0" distR="0" wp14:anchorId="2A693986" wp14:editId="40353E76">
            <wp:extent cx="6185916" cy="3077870"/>
            <wp:effectExtent l="0" t="0" r="571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_3.w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85916" cy="3077870"/>
                    </a:xfrm>
                    <a:prstGeom prst="rect">
                      <a:avLst/>
                    </a:prstGeom>
                  </pic:spPr>
                </pic:pic>
              </a:graphicData>
            </a:graphic>
          </wp:inline>
        </w:drawing>
      </w:r>
    </w:p>
    <w:p w14:paraId="41E8BF87" w14:textId="77777777" w:rsidR="00887103" w:rsidRPr="006D1BC4" w:rsidRDefault="00737FC5" w:rsidP="00D44157">
      <w:pPr>
        <w:spacing w:before="120"/>
        <w:jc w:val="center"/>
      </w:pPr>
      <w:r>
        <w:rPr>
          <w:b/>
          <w:bCs/>
        </w:rPr>
        <w:t>Рис. 3</w:t>
      </w:r>
      <w:r>
        <w:t xml:space="preserve"> Самооценка симптомов в баллах у пациентов с поствирусным РС.</w:t>
      </w:r>
    </w:p>
    <w:p w14:paraId="526AE842" w14:textId="77777777" w:rsidR="00434157" w:rsidRPr="006D1BC4" w:rsidRDefault="00434157" w:rsidP="00AE2A69">
      <w:pPr>
        <w:spacing w:before="120" w:after="120"/>
      </w:pPr>
      <w:bookmarkStart w:id="3" w:name="bookmark15"/>
    </w:p>
    <w:p w14:paraId="0120A422" w14:textId="661518F2" w:rsidR="00434157" w:rsidRPr="006D1BC4" w:rsidRDefault="00434157">
      <w:pPr>
        <w:sectPr w:rsidR="00434157" w:rsidRPr="006D1BC4" w:rsidSect="004A781E">
          <w:type w:val="continuous"/>
          <w:pgSz w:w="12240" w:h="16834"/>
          <w:pgMar w:top="993" w:right="680" w:bottom="851" w:left="851" w:header="680" w:footer="624" w:gutter="0"/>
          <w:cols w:space="349"/>
          <w:noEndnote/>
          <w:docGrid w:linePitch="360"/>
        </w:sectPr>
      </w:pPr>
    </w:p>
    <w:p w14:paraId="6D770E4E" w14:textId="0B6CC02C" w:rsidR="00434157" w:rsidRPr="006D1BC4" w:rsidRDefault="00737FC5" w:rsidP="00AE2A69">
      <w:pPr>
        <w:rPr>
          <w:b/>
          <w:bCs/>
        </w:rPr>
      </w:pPr>
      <w:r>
        <w:rPr>
          <w:b/>
          <w:bCs/>
        </w:rPr>
        <w:t>Таблица 4</w:t>
      </w:r>
      <w:bookmarkEnd w:id="3"/>
    </w:p>
    <w:p w14:paraId="767898EC" w14:textId="77777777" w:rsidR="00887103" w:rsidRPr="006D1BC4" w:rsidRDefault="00737FC5">
      <w:r>
        <w:t>Назначение антибиотиков у пациентов с острым РС.</w:t>
      </w:r>
    </w:p>
    <w:tbl>
      <w:tblPr>
        <w:tblOverlap w:val="never"/>
        <w:tblW w:w="0" w:type="auto"/>
        <w:tblLayout w:type="fixed"/>
        <w:tblCellMar>
          <w:left w:w="10" w:type="dxa"/>
          <w:right w:w="10" w:type="dxa"/>
        </w:tblCellMar>
        <w:tblLook w:val="04A0" w:firstRow="1" w:lastRow="0" w:firstColumn="1" w:lastColumn="0" w:noHBand="0" w:noVBand="1"/>
      </w:tblPr>
      <w:tblGrid>
        <w:gridCol w:w="1659"/>
        <w:gridCol w:w="890"/>
        <w:gridCol w:w="560"/>
        <w:gridCol w:w="655"/>
        <w:gridCol w:w="1416"/>
      </w:tblGrid>
      <w:tr w:rsidR="00887103" w:rsidRPr="006D1BC4" w14:paraId="3BF442D6" w14:textId="77777777" w:rsidTr="00A0016B">
        <w:trPr>
          <w:cantSplit/>
          <w:trHeight w:val="341"/>
        </w:trPr>
        <w:tc>
          <w:tcPr>
            <w:tcW w:w="1659" w:type="dxa"/>
            <w:vMerge w:val="restart"/>
            <w:tcBorders>
              <w:top w:val="single" w:sz="4" w:space="0" w:color="auto"/>
            </w:tcBorders>
            <w:shd w:val="clear" w:color="auto" w:fill="FFFFFF"/>
            <w:tcMar>
              <w:left w:w="85" w:type="dxa"/>
              <w:right w:w="85" w:type="dxa"/>
            </w:tcMar>
          </w:tcPr>
          <w:p w14:paraId="0B8F9C3C" w14:textId="77777777" w:rsidR="00887103" w:rsidRPr="006D1BC4" w:rsidRDefault="00737FC5" w:rsidP="00A0016B">
            <w:pPr>
              <w:spacing w:before="60"/>
              <w:jc w:val="left"/>
              <w:rPr>
                <w:sz w:val="16"/>
                <w:szCs w:val="22"/>
              </w:rPr>
            </w:pPr>
            <w:r>
              <w:rPr>
                <w:sz w:val="16"/>
                <w:szCs w:val="22"/>
              </w:rPr>
              <w:t>Нозологическая единица</w:t>
            </w:r>
          </w:p>
        </w:tc>
        <w:tc>
          <w:tcPr>
            <w:tcW w:w="890" w:type="dxa"/>
            <w:vMerge w:val="restart"/>
            <w:tcBorders>
              <w:top w:val="single" w:sz="4" w:space="0" w:color="auto"/>
            </w:tcBorders>
            <w:shd w:val="clear" w:color="auto" w:fill="FFFFFF"/>
            <w:tcMar>
              <w:left w:w="85" w:type="dxa"/>
              <w:right w:w="85" w:type="dxa"/>
            </w:tcMar>
          </w:tcPr>
          <w:p w14:paraId="1F695F13" w14:textId="77777777" w:rsidR="00887103" w:rsidRPr="006D1BC4" w:rsidRDefault="00737FC5" w:rsidP="00A0016B">
            <w:pPr>
              <w:spacing w:before="60"/>
              <w:jc w:val="left"/>
              <w:rPr>
                <w:sz w:val="16"/>
                <w:szCs w:val="22"/>
              </w:rPr>
            </w:pPr>
            <w:r>
              <w:rPr>
                <w:sz w:val="16"/>
                <w:szCs w:val="22"/>
              </w:rPr>
              <w:t>Группа</w:t>
            </w:r>
          </w:p>
        </w:tc>
        <w:tc>
          <w:tcPr>
            <w:tcW w:w="560" w:type="dxa"/>
            <w:vMerge w:val="restart"/>
            <w:tcBorders>
              <w:top w:val="single" w:sz="4" w:space="0" w:color="auto"/>
            </w:tcBorders>
            <w:shd w:val="clear" w:color="auto" w:fill="FFFFFF"/>
            <w:tcMar>
              <w:left w:w="85" w:type="dxa"/>
              <w:right w:w="85" w:type="dxa"/>
            </w:tcMar>
          </w:tcPr>
          <w:p w14:paraId="28711500" w14:textId="77777777" w:rsidR="00887103" w:rsidRPr="006D1BC4" w:rsidRDefault="00737FC5" w:rsidP="00A0016B">
            <w:pPr>
              <w:spacing w:before="60"/>
              <w:jc w:val="left"/>
              <w:rPr>
                <w:sz w:val="16"/>
                <w:szCs w:val="22"/>
              </w:rPr>
            </w:pPr>
            <w:r>
              <w:rPr>
                <w:sz w:val="16"/>
                <w:szCs w:val="22"/>
              </w:rPr>
              <w:t>n</w:t>
            </w:r>
          </w:p>
        </w:tc>
        <w:tc>
          <w:tcPr>
            <w:tcW w:w="2071" w:type="dxa"/>
            <w:gridSpan w:val="2"/>
            <w:tcBorders>
              <w:top w:val="single" w:sz="4" w:space="0" w:color="auto"/>
            </w:tcBorders>
            <w:shd w:val="clear" w:color="auto" w:fill="FFFFFF"/>
            <w:tcMar>
              <w:left w:w="85" w:type="dxa"/>
              <w:right w:w="85" w:type="dxa"/>
            </w:tcMar>
            <w:vAlign w:val="center"/>
          </w:tcPr>
          <w:p w14:paraId="153F6437" w14:textId="77777777" w:rsidR="00887103" w:rsidRPr="006D1BC4" w:rsidRDefault="00737FC5" w:rsidP="00434157">
            <w:pPr>
              <w:rPr>
                <w:sz w:val="16"/>
                <w:szCs w:val="22"/>
              </w:rPr>
            </w:pPr>
            <w:r>
              <w:rPr>
                <w:sz w:val="16"/>
                <w:szCs w:val="22"/>
              </w:rPr>
              <w:t>Назначение антибиотиков</w:t>
            </w:r>
          </w:p>
        </w:tc>
      </w:tr>
      <w:tr w:rsidR="00887103" w:rsidRPr="006D1BC4" w14:paraId="7D0F9B43" w14:textId="77777777" w:rsidTr="00434157">
        <w:trPr>
          <w:cantSplit/>
          <w:trHeight w:val="332"/>
        </w:trPr>
        <w:tc>
          <w:tcPr>
            <w:tcW w:w="1659" w:type="dxa"/>
            <w:vMerge/>
            <w:shd w:val="clear" w:color="auto" w:fill="FFFFFF"/>
            <w:tcMar>
              <w:left w:w="85" w:type="dxa"/>
              <w:right w:w="85" w:type="dxa"/>
            </w:tcMar>
            <w:vAlign w:val="center"/>
          </w:tcPr>
          <w:p w14:paraId="24B4CFB4" w14:textId="77777777" w:rsidR="00887103" w:rsidRPr="006D1BC4" w:rsidRDefault="00887103" w:rsidP="00434157">
            <w:pPr>
              <w:rPr>
                <w:sz w:val="16"/>
                <w:szCs w:val="22"/>
              </w:rPr>
            </w:pPr>
          </w:p>
        </w:tc>
        <w:tc>
          <w:tcPr>
            <w:tcW w:w="890" w:type="dxa"/>
            <w:vMerge/>
            <w:shd w:val="clear" w:color="auto" w:fill="FFFFFF"/>
            <w:tcMar>
              <w:left w:w="85" w:type="dxa"/>
              <w:right w:w="85" w:type="dxa"/>
            </w:tcMar>
            <w:vAlign w:val="center"/>
          </w:tcPr>
          <w:p w14:paraId="4790FC90" w14:textId="77777777" w:rsidR="00887103" w:rsidRPr="006D1BC4" w:rsidRDefault="00887103" w:rsidP="00434157">
            <w:pPr>
              <w:rPr>
                <w:sz w:val="16"/>
                <w:szCs w:val="22"/>
              </w:rPr>
            </w:pPr>
          </w:p>
        </w:tc>
        <w:tc>
          <w:tcPr>
            <w:tcW w:w="560" w:type="dxa"/>
            <w:vMerge/>
            <w:shd w:val="clear" w:color="auto" w:fill="FFFFFF"/>
            <w:tcMar>
              <w:left w:w="85" w:type="dxa"/>
              <w:right w:w="85" w:type="dxa"/>
            </w:tcMar>
            <w:vAlign w:val="center"/>
          </w:tcPr>
          <w:p w14:paraId="203607CA" w14:textId="77777777" w:rsidR="00887103" w:rsidRPr="006D1BC4" w:rsidRDefault="00887103" w:rsidP="00434157">
            <w:pPr>
              <w:rPr>
                <w:sz w:val="16"/>
                <w:szCs w:val="22"/>
              </w:rPr>
            </w:pPr>
          </w:p>
        </w:tc>
        <w:tc>
          <w:tcPr>
            <w:tcW w:w="655" w:type="dxa"/>
            <w:tcBorders>
              <w:top w:val="single" w:sz="4" w:space="0" w:color="auto"/>
            </w:tcBorders>
            <w:shd w:val="clear" w:color="auto" w:fill="FFFFFF"/>
            <w:tcMar>
              <w:left w:w="85" w:type="dxa"/>
              <w:right w:w="85" w:type="dxa"/>
            </w:tcMar>
            <w:vAlign w:val="center"/>
          </w:tcPr>
          <w:p w14:paraId="53D5A44D" w14:textId="77777777" w:rsidR="00887103" w:rsidRPr="006D1BC4" w:rsidRDefault="00737FC5" w:rsidP="00434157">
            <w:pPr>
              <w:rPr>
                <w:sz w:val="16"/>
                <w:szCs w:val="22"/>
              </w:rPr>
            </w:pPr>
            <w:r>
              <w:rPr>
                <w:sz w:val="16"/>
                <w:szCs w:val="22"/>
              </w:rPr>
              <w:t>n</w:t>
            </w:r>
          </w:p>
        </w:tc>
        <w:tc>
          <w:tcPr>
            <w:tcW w:w="1416" w:type="dxa"/>
            <w:tcBorders>
              <w:top w:val="single" w:sz="4" w:space="0" w:color="auto"/>
            </w:tcBorders>
            <w:shd w:val="clear" w:color="auto" w:fill="FFFFFF"/>
            <w:tcMar>
              <w:left w:w="85" w:type="dxa"/>
              <w:right w:w="85" w:type="dxa"/>
            </w:tcMar>
            <w:vAlign w:val="center"/>
          </w:tcPr>
          <w:p w14:paraId="460D0898" w14:textId="77777777" w:rsidR="00887103" w:rsidRPr="006D1BC4" w:rsidRDefault="00737FC5" w:rsidP="00434157">
            <w:pPr>
              <w:rPr>
                <w:sz w:val="16"/>
                <w:szCs w:val="22"/>
              </w:rPr>
            </w:pPr>
            <w:r>
              <w:rPr>
                <w:sz w:val="16"/>
                <w:szCs w:val="22"/>
              </w:rPr>
              <w:t>%</w:t>
            </w:r>
          </w:p>
        </w:tc>
      </w:tr>
      <w:tr w:rsidR="00887103" w:rsidRPr="006D1BC4" w14:paraId="05D1D79E" w14:textId="77777777" w:rsidTr="00434157">
        <w:trPr>
          <w:cantSplit/>
          <w:trHeight w:val="252"/>
        </w:trPr>
        <w:tc>
          <w:tcPr>
            <w:tcW w:w="1659" w:type="dxa"/>
            <w:tcBorders>
              <w:top w:val="single" w:sz="4" w:space="0" w:color="auto"/>
            </w:tcBorders>
            <w:shd w:val="clear" w:color="auto" w:fill="FFFFFF"/>
            <w:tcMar>
              <w:left w:w="85" w:type="dxa"/>
              <w:right w:w="85" w:type="dxa"/>
            </w:tcMar>
            <w:vAlign w:val="center"/>
          </w:tcPr>
          <w:p w14:paraId="5AC456B2" w14:textId="77777777" w:rsidR="00887103" w:rsidRPr="006D1BC4" w:rsidRDefault="00737FC5" w:rsidP="00434157">
            <w:pPr>
              <w:rPr>
                <w:sz w:val="16"/>
                <w:szCs w:val="22"/>
              </w:rPr>
            </w:pPr>
            <w:r>
              <w:rPr>
                <w:sz w:val="16"/>
                <w:szCs w:val="22"/>
              </w:rPr>
              <w:t>Острый РС всего (n = 275)</w:t>
            </w:r>
          </w:p>
        </w:tc>
        <w:tc>
          <w:tcPr>
            <w:tcW w:w="890" w:type="dxa"/>
            <w:tcBorders>
              <w:top w:val="single" w:sz="4" w:space="0" w:color="auto"/>
            </w:tcBorders>
            <w:shd w:val="clear" w:color="auto" w:fill="FFFFFF"/>
            <w:tcMar>
              <w:left w:w="85" w:type="dxa"/>
              <w:right w:w="85" w:type="dxa"/>
            </w:tcMar>
            <w:vAlign w:val="center"/>
          </w:tcPr>
          <w:p w14:paraId="393EC028" w14:textId="77777777" w:rsidR="00887103" w:rsidRPr="006D1BC4" w:rsidRDefault="00737FC5" w:rsidP="00434157">
            <w:pPr>
              <w:rPr>
                <w:sz w:val="16"/>
                <w:szCs w:val="22"/>
              </w:rPr>
            </w:pPr>
            <w:r>
              <w:rPr>
                <w:sz w:val="16"/>
                <w:szCs w:val="22"/>
              </w:rPr>
              <w:t>Основная</w:t>
            </w:r>
          </w:p>
        </w:tc>
        <w:tc>
          <w:tcPr>
            <w:tcW w:w="560" w:type="dxa"/>
            <w:tcBorders>
              <w:top w:val="single" w:sz="4" w:space="0" w:color="auto"/>
            </w:tcBorders>
            <w:shd w:val="clear" w:color="auto" w:fill="FFFFFF"/>
            <w:tcMar>
              <w:left w:w="85" w:type="dxa"/>
              <w:right w:w="85" w:type="dxa"/>
            </w:tcMar>
            <w:vAlign w:val="center"/>
          </w:tcPr>
          <w:p w14:paraId="375EA209" w14:textId="77777777" w:rsidR="00887103" w:rsidRPr="006D1BC4" w:rsidRDefault="00737FC5" w:rsidP="00434157">
            <w:pPr>
              <w:rPr>
                <w:sz w:val="16"/>
                <w:szCs w:val="22"/>
              </w:rPr>
            </w:pPr>
            <w:r>
              <w:rPr>
                <w:sz w:val="16"/>
                <w:szCs w:val="22"/>
              </w:rPr>
              <w:t>154</w:t>
            </w:r>
          </w:p>
        </w:tc>
        <w:tc>
          <w:tcPr>
            <w:tcW w:w="655" w:type="dxa"/>
            <w:tcBorders>
              <w:top w:val="single" w:sz="4" w:space="0" w:color="auto"/>
            </w:tcBorders>
            <w:shd w:val="clear" w:color="auto" w:fill="FFFFFF"/>
            <w:tcMar>
              <w:left w:w="85" w:type="dxa"/>
              <w:right w:w="85" w:type="dxa"/>
            </w:tcMar>
            <w:vAlign w:val="center"/>
          </w:tcPr>
          <w:p w14:paraId="447B1580" w14:textId="77777777" w:rsidR="00887103" w:rsidRPr="006D1BC4" w:rsidRDefault="00737FC5" w:rsidP="00434157">
            <w:pPr>
              <w:rPr>
                <w:sz w:val="16"/>
                <w:szCs w:val="22"/>
              </w:rPr>
            </w:pPr>
            <w:r>
              <w:rPr>
                <w:sz w:val="16"/>
                <w:szCs w:val="22"/>
              </w:rPr>
              <w:t>7</w:t>
            </w:r>
          </w:p>
        </w:tc>
        <w:tc>
          <w:tcPr>
            <w:tcW w:w="1416" w:type="dxa"/>
            <w:tcBorders>
              <w:top w:val="single" w:sz="4" w:space="0" w:color="auto"/>
            </w:tcBorders>
            <w:shd w:val="clear" w:color="auto" w:fill="FFFFFF"/>
            <w:tcMar>
              <w:left w:w="85" w:type="dxa"/>
              <w:right w:w="85" w:type="dxa"/>
            </w:tcMar>
            <w:vAlign w:val="center"/>
          </w:tcPr>
          <w:p w14:paraId="40F4AE5C" w14:textId="77777777" w:rsidR="00887103" w:rsidRPr="006D1BC4" w:rsidRDefault="00737FC5" w:rsidP="00A0016B">
            <w:pPr>
              <w:rPr>
                <w:sz w:val="16"/>
                <w:szCs w:val="22"/>
              </w:rPr>
            </w:pPr>
            <w:r>
              <w:rPr>
                <w:sz w:val="16"/>
                <w:szCs w:val="22"/>
              </w:rPr>
              <w:t>4,54 %</w:t>
            </w:r>
          </w:p>
        </w:tc>
      </w:tr>
      <w:tr w:rsidR="00887103" w:rsidRPr="006D1BC4" w14:paraId="6DDE2C63" w14:textId="77777777" w:rsidTr="00434157">
        <w:trPr>
          <w:cantSplit/>
          <w:trHeight w:val="173"/>
        </w:trPr>
        <w:tc>
          <w:tcPr>
            <w:tcW w:w="1659" w:type="dxa"/>
            <w:shd w:val="clear" w:color="auto" w:fill="FFFFFF"/>
            <w:tcMar>
              <w:left w:w="85" w:type="dxa"/>
              <w:right w:w="85" w:type="dxa"/>
            </w:tcMar>
            <w:vAlign w:val="center"/>
          </w:tcPr>
          <w:p w14:paraId="5E4973DB" w14:textId="77777777" w:rsidR="00887103" w:rsidRPr="006D1BC4" w:rsidRDefault="00887103" w:rsidP="00434157">
            <w:pPr>
              <w:rPr>
                <w:sz w:val="16"/>
                <w:szCs w:val="22"/>
              </w:rPr>
            </w:pPr>
          </w:p>
        </w:tc>
        <w:tc>
          <w:tcPr>
            <w:tcW w:w="890" w:type="dxa"/>
            <w:shd w:val="clear" w:color="auto" w:fill="FFFFFF"/>
            <w:tcMar>
              <w:left w:w="85" w:type="dxa"/>
              <w:right w:w="85" w:type="dxa"/>
            </w:tcMar>
            <w:vAlign w:val="center"/>
          </w:tcPr>
          <w:p w14:paraId="42EE7FE3" w14:textId="77777777" w:rsidR="00887103" w:rsidRPr="006D1BC4" w:rsidRDefault="00737FC5" w:rsidP="00434157">
            <w:pPr>
              <w:rPr>
                <w:sz w:val="16"/>
                <w:szCs w:val="22"/>
              </w:rPr>
            </w:pPr>
            <w:r>
              <w:rPr>
                <w:sz w:val="16"/>
                <w:szCs w:val="22"/>
              </w:rPr>
              <w:t>Контроль</w:t>
            </w:r>
          </w:p>
        </w:tc>
        <w:tc>
          <w:tcPr>
            <w:tcW w:w="560" w:type="dxa"/>
            <w:shd w:val="clear" w:color="auto" w:fill="FFFFFF"/>
            <w:tcMar>
              <w:left w:w="85" w:type="dxa"/>
              <w:right w:w="85" w:type="dxa"/>
            </w:tcMar>
            <w:vAlign w:val="center"/>
          </w:tcPr>
          <w:p w14:paraId="52ACED72" w14:textId="77777777" w:rsidR="00887103" w:rsidRPr="006D1BC4" w:rsidRDefault="00737FC5" w:rsidP="00434157">
            <w:pPr>
              <w:rPr>
                <w:sz w:val="16"/>
                <w:szCs w:val="22"/>
              </w:rPr>
            </w:pPr>
            <w:r>
              <w:rPr>
                <w:sz w:val="16"/>
                <w:szCs w:val="22"/>
              </w:rPr>
              <w:t>121</w:t>
            </w:r>
          </w:p>
        </w:tc>
        <w:tc>
          <w:tcPr>
            <w:tcW w:w="655" w:type="dxa"/>
            <w:shd w:val="clear" w:color="auto" w:fill="FFFFFF"/>
            <w:tcMar>
              <w:left w:w="85" w:type="dxa"/>
              <w:right w:w="85" w:type="dxa"/>
            </w:tcMar>
            <w:vAlign w:val="center"/>
          </w:tcPr>
          <w:p w14:paraId="4F1E2147" w14:textId="77777777" w:rsidR="00887103" w:rsidRPr="006D1BC4" w:rsidRDefault="00737FC5" w:rsidP="00434157">
            <w:pPr>
              <w:rPr>
                <w:sz w:val="16"/>
                <w:szCs w:val="22"/>
              </w:rPr>
            </w:pPr>
            <w:r>
              <w:rPr>
                <w:sz w:val="16"/>
                <w:szCs w:val="22"/>
              </w:rPr>
              <w:t>10</w:t>
            </w:r>
          </w:p>
        </w:tc>
        <w:tc>
          <w:tcPr>
            <w:tcW w:w="1416" w:type="dxa"/>
            <w:shd w:val="clear" w:color="auto" w:fill="FFFFFF"/>
            <w:tcMar>
              <w:left w:w="85" w:type="dxa"/>
              <w:right w:w="85" w:type="dxa"/>
            </w:tcMar>
            <w:vAlign w:val="center"/>
          </w:tcPr>
          <w:p w14:paraId="51EF8C17" w14:textId="77777777" w:rsidR="00887103" w:rsidRPr="006D1BC4" w:rsidRDefault="00737FC5" w:rsidP="00A0016B">
            <w:pPr>
              <w:rPr>
                <w:sz w:val="16"/>
                <w:szCs w:val="22"/>
              </w:rPr>
            </w:pPr>
            <w:r>
              <w:rPr>
                <w:sz w:val="16"/>
                <w:szCs w:val="22"/>
              </w:rPr>
              <w:t>8,26 %</w:t>
            </w:r>
          </w:p>
        </w:tc>
      </w:tr>
      <w:tr w:rsidR="00887103" w:rsidRPr="006D1BC4" w14:paraId="1E3F9CB9" w14:textId="77777777" w:rsidTr="00434157">
        <w:trPr>
          <w:cantSplit/>
          <w:trHeight w:val="173"/>
        </w:trPr>
        <w:tc>
          <w:tcPr>
            <w:tcW w:w="1659" w:type="dxa"/>
            <w:shd w:val="clear" w:color="auto" w:fill="FFFFFF"/>
            <w:tcMar>
              <w:left w:w="85" w:type="dxa"/>
              <w:right w:w="85" w:type="dxa"/>
            </w:tcMar>
            <w:vAlign w:val="center"/>
          </w:tcPr>
          <w:p w14:paraId="7F59D097" w14:textId="77777777" w:rsidR="00887103" w:rsidRPr="006D1BC4" w:rsidRDefault="00737FC5" w:rsidP="00434157">
            <w:pPr>
              <w:rPr>
                <w:sz w:val="16"/>
                <w:szCs w:val="22"/>
              </w:rPr>
            </w:pPr>
            <w:r>
              <w:rPr>
                <w:sz w:val="16"/>
                <w:szCs w:val="22"/>
              </w:rPr>
              <w:t>Вирусный РС (n = 168)</w:t>
            </w:r>
          </w:p>
        </w:tc>
        <w:tc>
          <w:tcPr>
            <w:tcW w:w="890" w:type="dxa"/>
            <w:shd w:val="clear" w:color="auto" w:fill="FFFFFF"/>
            <w:tcMar>
              <w:left w:w="85" w:type="dxa"/>
              <w:right w:w="85" w:type="dxa"/>
            </w:tcMar>
            <w:vAlign w:val="center"/>
          </w:tcPr>
          <w:p w14:paraId="33A43029" w14:textId="77777777" w:rsidR="00887103" w:rsidRPr="006D1BC4" w:rsidRDefault="00737FC5" w:rsidP="00434157">
            <w:pPr>
              <w:rPr>
                <w:sz w:val="16"/>
                <w:szCs w:val="22"/>
              </w:rPr>
            </w:pPr>
            <w:r>
              <w:rPr>
                <w:sz w:val="16"/>
                <w:szCs w:val="22"/>
              </w:rPr>
              <w:t>Основная</w:t>
            </w:r>
          </w:p>
        </w:tc>
        <w:tc>
          <w:tcPr>
            <w:tcW w:w="560" w:type="dxa"/>
            <w:shd w:val="clear" w:color="auto" w:fill="FFFFFF"/>
            <w:tcMar>
              <w:left w:w="85" w:type="dxa"/>
              <w:right w:w="85" w:type="dxa"/>
            </w:tcMar>
            <w:vAlign w:val="center"/>
          </w:tcPr>
          <w:p w14:paraId="3CD85FC0" w14:textId="77777777" w:rsidR="00887103" w:rsidRPr="006D1BC4" w:rsidRDefault="00737FC5" w:rsidP="00434157">
            <w:pPr>
              <w:rPr>
                <w:sz w:val="16"/>
                <w:szCs w:val="22"/>
              </w:rPr>
            </w:pPr>
            <w:r>
              <w:rPr>
                <w:sz w:val="16"/>
                <w:szCs w:val="22"/>
              </w:rPr>
              <w:t>96</w:t>
            </w:r>
          </w:p>
        </w:tc>
        <w:tc>
          <w:tcPr>
            <w:tcW w:w="655" w:type="dxa"/>
            <w:shd w:val="clear" w:color="auto" w:fill="FFFFFF"/>
            <w:tcMar>
              <w:left w:w="85" w:type="dxa"/>
              <w:right w:w="85" w:type="dxa"/>
            </w:tcMar>
            <w:vAlign w:val="center"/>
          </w:tcPr>
          <w:p w14:paraId="53DE0DD5" w14:textId="77777777" w:rsidR="00887103" w:rsidRPr="006D1BC4" w:rsidRDefault="00737FC5" w:rsidP="00434157">
            <w:pPr>
              <w:rPr>
                <w:sz w:val="16"/>
                <w:szCs w:val="22"/>
              </w:rPr>
            </w:pPr>
            <w:r>
              <w:rPr>
                <w:sz w:val="16"/>
                <w:szCs w:val="22"/>
              </w:rPr>
              <w:t>2</w:t>
            </w:r>
          </w:p>
        </w:tc>
        <w:tc>
          <w:tcPr>
            <w:tcW w:w="1416" w:type="dxa"/>
            <w:shd w:val="clear" w:color="auto" w:fill="FFFFFF"/>
            <w:tcMar>
              <w:left w:w="85" w:type="dxa"/>
              <w:right w:w="85" w:type="dxa"/>
            </w:tcMar>
            <w:vAlign w:val="center"/>
          </w:tcPr>
          <w:p w14:paraId="08C5905B" w14:textId="77777777" w:rsidR="00887103" w:rsidRPr="006D1BC4" w:rsidRDefault="00737FC5" w:rsidP="00A0016B">
            <w:pPr>
              <w:rPr>
                <w:sz w:val="16"/>
                <w:szCs w:val="22"/>
              </w:rPr>
            </w:pPr>
            <w:r>
              <w:rPr>
                <w:sz w:val="16"/>
                <w:szCs w:val="22"/>
              </w:rPr>
              <w:t>2,08 %</w:t>
            </w:r>
          </w:p>
        </w:tc>
      </w:tr>
      <w:tr w:rsidR="00887103" w:rsidRPr="006D1BC4" w14:paraId="0CE84778" w14:textId="77777777" w:rsidTr="00434157">
        <w:trPr>
          <w:cantSplit/>
          <w:trHeight w:val="168"/>
        </w:trPr>
        <w:tc>
          <w:tcPr>
            <w:tcW w:w="1659" w:type="dxa"/>
            <w:shd w:val="clear" w:color="auto" w:fill="FFFFFF"/>
            <w:tcMar>
              <w:left w:w="85" w:type="dxa"/>
              <w:right w:w="85" w:type="dxa"/>
            </w:tcMar>
            <w:vAlign w:val="center"/>
          </w:tcPr>
          <w:p w14:paraId="096C1863" w14:textId="77777777" w:rsidR="00887103" w:rsidRPr="006D1BC4" w:rsidRDefault="00887103" w:rsidP="00434157">
            <w:pPr>
              <w:rPr>
                <w:sz w:val="16"/>
                <w:szCs w:val="22"/>
              </w:rPr>
            </w:pPr>
          </w:p>
        </w:tc>
        <w:tc>
          <w:tcPr>
            <w:tcW w:w="890" w:type="dxa"/>
            <w:shd w:val="clear" w:color="auto" w:fill="FFFFFF"/>
            <w:tcMar>
              <w:left w:w="85" w:type="dxa"/>
              <w:right w:w="85" w:type="dxa"/>
            </w:tcMar>
            <w:vAlign w:val="center"/>
          </w:tcPr>
          <w:p w14:paraId="12F043C4" w14:textId="77777777" w:rsidR="00887103" w:rsidRPr="006D1BC4" w:rsidRDefault="00737FC5" w:rsidP="00434157">
            <w:pPr>
              <w:rPr>
                <w:sz w:val="16"/>
                <w:szCs w:val="22"/>
              </w:rPr>
            </w:pPr>
            <w:r>
              <w:rPr>
                <w:sz w:val="16"/>
                <w:szCs w:val="22"/>
              </w:rPr>
              <w:t>Контроль</w:t>
            </w:r>
          </w:p>
        </w:tc>
        <w:tc>
          <w:tcPr>
            <w:tcW w:w="560" w:type="dxa"/>
            <w:shd w:val="clear" w:color="auto" w:fill="FFFFFF"/>
            <w:tcMar>
              <w:left w:w="85" w:type="dxa"/>
              <w:right w:w="85" w:type="dxa"/>
            </w:tcMar>
            <w:vAlign w:val="center"/>
          </w:tcPr>
          <w:p w14:paraId="266479B7" w14:textId="77777777" w:rsidR="00887103" w:rsidRPr="006D1BC4" w:rsidRDefault="00737FC5" w:rsidP="00434157">
            <w:pPr>
              <w:rPr>
                <w:sz w:val="16"/>
                <w:szCs w:val="22"/>
              </w:rPr>
            </w:pPr>
            <w:r>
              <w:rPr>
                <w:sz w:val="16"/>
                <w:szCs w:val="22"/>
              </w:rPr>
              <w:t>72</w:t>
            </w:r>
          </w:p>
        </w:tc>
        <w:tc>
          <w:tcPr>
            <w:tcW w:w="655" w:type="dxa"/>
            <w:shd w:val="clear" w:color="auto" w:fill="FFFFFF"/>
            <w:tcMar>
              <w:left w:w="85" w:type="dxa"/>
              <w:right w:w="85" w:type="dxa"/>
            </w:tcMar>
            <w:vAlign w:val="center"/>
          </w:tcPr>
          <w:p w14:paraId="779E2E34" w14:textId="77777777" w:rsidR="00887103" w:rsidRPr="006D1BC4" w:rsidRDefault="00737FC5" w:rsidP="00434157">
            <w:pPr>
              <w:rPr>
                <w:sz w:val="16"/>
                <w:szCs w:val="22"/>
              </w:rPr>
            </w:pPr>
            <w:r>
              <w:rPr>
                <w:sz w:val="16"/>
                <w:szCs w:val="22"/>
              </w:rPr>
              <w:t>4</w:t>
            </w:r>
          </w:p>
        </w:tc>
        <w:tc>
          <w:tcPr>
            <w:tcW w:w="1416" w:type="dxa"/>
            <w:shd w:val="clear" w:color="auto" w:fill="FFFFFF"/>
            <w:tcMar>
              <w:left w:w="85" w:type="dxa"/>
              <w:right w:w="85" w:type="dxa"/>
            </w:tcMar>
            <w:vAlign w:val="center"/>
          </w:tcPr>
          <w:p w14:paraId="0A5F8119" w14:textId="77777777" w:rsidR="00887103" w:rsidRPr="006D1BC4" w:rsidRDefault="00737FC5" w:rsidP="00A0016B">
            <w:pPr>
              <w:rPr>
                <w:sz w:val="16"/>
                <w:szCs w:val="22"/>
              </w:rPr>
            </w:pPr>
            <w:r>
              <w:rPr>
                <w:sz w:val="16"/>
                <w:szCs w:val="22"/>
              </w:rPr>
              <w:t>5,55 %</w:t>
            </w:r>
          </w:p>
        </w:tc>
      </w:tr>
      <w:tr w:rsidR="00887103" w:rsidRPr="006D1BC4" w14:paraId="0BB3CC7A" w14:textId="77777777" w:rsidTr="00434157">
        <w:trPr>
          <w:cantSplit/>
          <w:trHeight w:val="173"/>
        </w:trPr>
        <w:tc>
          <w:tcPr>
            <w:tcW w:w="1659" w:type="dxa"/>
            <w:shd w:val="clear" w:color="auto" w:fill="FFFFFF"/>
            <w:tcMar>
              <w:left w:w="85" w:type="dxa"/>
              <w:right w:w="85" w:type="dxa"/>
            </w:tcMar>
            <w:vAlign w:val="center"/>
          </w:tcPr>
          <w:p w14:paraId="460A8097" w14:textId="77777777" w:rsidR="00887103" w:rsidRPr="006D1BC4" w:rsidRDefault="00737FC5" w:rsidP="00434157">
            <w:pPr>
              <w:rPr>
                <w:sz w:val="16"/>
                <w:szCs w:val="22"/>
              </w:rPr>
            </w:pPr>
            <w:r>
              <w:rPr>
                <w:sz w:val="16"/>
                <w:szCs w:val="22"/>
              </w:rPr>
              <w:t>Поствирусный РС (n = 107)</w:t>
            </w:r>
          </w:p>
        </w:tc>
        <w:tc>
          <w:tcPr>
            <w:tcW w:w="890" w:type="dxa"/>
            <w:shd w:val="clear" w:color="auto" w:fill="FFFFFF"/>
            <w:tcMar>
              <w:left w:w="85" w:type="dxa"/>
              <w:right w:w="85" w:type="dxa"/>
            </w:tcMar>
            <w:vAlign w:val="center"/>
          </w:tcPr>
          <w:p w14:paraId="1BF3EAF6" w14:textId="77777777" w:rsidR="00887103" w:rsidRPr="006D1BC4" w:rsidRDefault="00737FC5" w:rsidP="00434157">
            <w:pPr>
              <w:rPr>
                <w:sz w:val="16"/>
                <w:szCs w:val="22"/>
              </w:rPr>
            </w:pPr>
            <w:r>
              <w:rPr>
                <w:sz w:val="16"/>
                <w:szCs w:val="22"/>
              </w:rPr>
              <w:t>Основная</w:t>
            </w:r>
          </w:p>
        </w:tc>
        <w:tc>
          <w:tcPr>
            <w:tcW w:w="560" w:type="dxa"/>
            <w:shd w:val="clear" w:color="auto" w:fill="FFFFFF"/>
            <w:tcMar>
              <w:left w:w="85" w:type="dxa"/>
              <w:right w:w="85" w:type="dxa"/>
            </w:tcMar>
            <w:vAlign w:val="center"/>
          </w:tcPr>
          <w:p w14:paraId="7789AB7E" w14:textId="77777777" w:rsidR="00887103" w:rsidRPr="006D1BC4" w:rsidRDefault="00737FC5" w:rsidP="00434157">
            <w:pPr>
              <w:rPr>
                <w:sz w:val="16"/>
                <w:szCs w:val="22"/>
              </w:rPr>
            </w:pPr>
            <w:r>
              <w:rPr>
                <w:sz w:val="16"/>
                <w:szCs w:val="22"/>
              </w:rPr>
              <w:t>58</w:t>
            </w:r>
          </w:p>
        </w:tc>
        <w:tc>
          <w:tcPr>
            <w:tcW w:w="655" w:type="dxa"/>
            <w:shd w:val="clear" w:color="auto" w:fill="FFFFFF"/>
            <w:tcMar>
              <w:left w:w="85" w:type="dxa"/>
              <w:right w:w="85" w:type="dxa"/>
            </w:tcMar>
            <w:vAlign w:val="center"/>
          </w:tcPr>
          <w:p w14:paraId="7784EF97" w14:textId="77777777" w:rsidR="00887103" w:rsidRPr="006D1BC4" w:rsidRDefault="00737FC5" w:rsidP="00434157">
            <w:pPr>
              <w:rPr>
                <w:sz w:val="16"/>
                <w:szCs w:val="22"/>
              </w:rPr>
            </w:pPr>
            <w:r>
              <w:rPr>
                <w:sz w:val="16"/>
                <w:szCs w:val="22"/>
              </w:rPr>
              <w:t>5</w:t>
            </w:r>
          </w:p>
        </w:tc>
        <w:tc>
          <w:tcPr>
            <w:tcW w:w="1416" w:type="dxa"/>
            <w:shd w:val="clear" w:color="auto" w:fill="FFFFFF"/>
            <w:tcMar>
              <w:left w:w="85" w:type="dxa"/>
              <w:right w:w="85" w:type="dxa"/>
            </w:tcMar>
            <w:vAlign w:val="center"/>
          </w:tcPr>
          <w:p w14:paraId="41E86692" w14:textId="77777777" w:rsidR="00887103" w:rsidRPr="006D1BC4" w:rsidRDefault="00737FC5" w:rsidP="00A0016B">
            <w:pPr>
              <w:rPr>
                <w:sz w:val="16"/>
                <w:szCs w:val="22"/>
              </w:rPr>
            </w:pPr>
            <w:r>
              <w:rPr>
                <w:sz w:val="16"/>
                <w:szCs w:val="22"/>
              </w:rPr>
              <w:t>8,62 %</w:t>
            </w:r>
          </w:p>
        </w:tc>
      </w:tr>
      <w:tr w:rsidR="00887103" w:rsidRPr="006D1BC4" w14:paraId="20617DA2" w14:textId="77777777" w:rsidTr="00434157">
        <w:trPr>
          <w:cantSplit/>
          <w:trHeight w:val="281"/>
        </w:trPr>
        <w:tc>
          <w:tcPr>
            <w:tcW w:w="1659" w:type="dxa"/>
            <w:tcBorders>
              <w:bottom w:val="single" w:sz="4" w:space="0" w:color="auto"/>
            </w:tcBorders>
            <w:shd w:val="clear" w:color="auto" w:fill="FFFFFF"/>
            <w:tcMar>
              <w:left w:w="85" w:type="dxa"/>
              <w:right w:w="85" w:type="dxa"/>
            </w:tcMar>
            <w:vAlign w:val="center"/>
          </w:tcPr>
          <w:p w14:paraId="0BB82B35" w14:textId="77777777" w:rsidR="00887103" w:rsidRPr="006D1BC4" w:rsidRDefault="00887103" w:rsidP="00434157">
            <w:pPr>
              <w:rPr>
                <w:sz w:val="16"/>
                <w:szCs w:val="22"/>
              </w:rPr>
            </w:pPr>
          </w:p>
        </w:tc>
        <w:tc>
          <w:tcPr>
            <w:tcW w:w="890" w:type="dxa"/>
            <w:tcBorders>
              <w:bottom w:val="single" w:sz="4" w:space="0" w:color="auto"/>
            </w:tcBorders>
            <w:shd w:val="clear" w:color="auto" w:fill="FFFFFF"/>
            <w:tcMar>
              <w:left w:w="85" w:type="dxa"/>
              <w:right w:w="85" w:type="dxa"/>
            </w:tcMar>
            <w:vAlign w:val="center"/>
          </w:tcPr>
          <w:p w14:paraId="335E3D49" w14:textId="77777777" w:rsidR="00887103" w:rsidRPr="006D1BC4" w:rsidRDefault="00737FC5" w:rsidP="00434157">
            <w:pPr>
              <w:rPr>
                <w:sz w:val="16"/>
                <w:szCs w:val="22"/>
              </w:rPr>
            </w:pPr>
            <w:r>
              <w:rPr>
                <w:sz w:val="16"/>
                <w:szCs w:val="22"/>
              </w:rPr>
              <w:t>Контроль</w:t>
            </w:r>
          </w:p>
        </w:tc>
        <w:tc>
          <w:tcPr>
            <w:tcW w:w="560" w:type="dxa"/>
            <w:tcBorders>
              <w:bottom w:val="single" w:sz="4" w:space="0" w:color="auto"/>
            </w:tcBorders>
            <w:shd w:val="clear" w:color="auto" w:fill="FFFFFF"/>
            <w:tcMar>
              <w:left w:w="85" w:type="dxa"/>
              <w:right w:w="85" w:type="dxa"/>
            </w:tcMar>
            <w:vAlign w:val="center"/>
          </w:tcPr>
          <w:p w14:paraId="4161F9BA" w14:textId="77777777" w:rsidR="00887103" w:rsidRPr="006D1BC4" w:rsidRDefault="00737FC5" w:rsidP="00434157">
            <w:pPr>
              <w:rPr>
                <w:sz w:val="16"/>
                <w:szCs w:val="22"/>
              </w:rPr>
            </w:pPr>
            <w:r>
              <w:rPr>
                <w:sz w:val="16"/>
                <w:szCs w:val="22"/>
              </w:rPr>
              <w:t>49</w:t>
            </w:r>
          </w:p>
        </w:tc>
        <w:tc>
          <w:tcPr>
            <w:tcW w:w="655" w:type="dxa"/>
            <w:tcBorders>
              <w:bottom w:val="single" w:sz="4" w:space="0" w:color="auto"/>
            </w:tcBorders>
            <w:shd w:val="clear" w:color="auto" w:fill="FFFFFF"/>
            <w:tcMar>
              <w:left w:w="85" w:type="dxa"/>
              <w:right w:w="85" w:type="dxa"/>
            </w:tcMar>
            <w:vAlign w:val="center"/>
          </w:tcPr>
          <w:p w14:paraId="66B63719" w14:textId="77777777" w:rsidR="00887103" w:rsidRPr="006D1BC4" w:rsidRDefault="00737FC5" w:rsidP="00434157">
            <w:pPr>
              <w:rPr>
                <w:sz w:val="16"/>
                <w:szCs w:val="22"/>
              </w:rPr>
            </w:pPr>
            <w:r>
              <w:rPr>
                <w:sz w:val="16"/>
                <w:szCs w:val="22"/>
              </w:rPr>
              <w:t>6</w:t>
            </w:r>
          </w:p>
        </w:tc>
        <w:tc>
          <w:tcPr>
            <w:tcW w:w="1416" w:type="dxa"/>
            <w:tcBorders>
              <w:bottom w:val="single" w:sz="4" w:space="0" w:color="auto"/>
            </w:tcBorders>
            <w:shd w:val="clear" w:color="auto" w:fill="FFFFFF"/>
            <w:tcMar>
              <w:left w:w="85" w:type="dxa"/>
              <w:right w:w="85" w:type="dxa"/>
            </w:tcMar>
            <w:vAlign w:val="center"/>
          </w:tcPr>
          <w:p w14:paraId="776CB4D0" w14:textId="77777777" w:rsidR="00887103" w:rsidRPr="006D1BC4" w:rsidRDefault="00737FC5" w:rsidP="00A0016B">
            <w:pPr>
              <w:rPr>
                <w:sz w:val="16"/>
                <w:szCs w:val="22"/>
              </w:rPr>
            </w:pPr>
            <w:r>
              <w:rPr>
                <w:sz w:val="16"/>
                <w:szCs w:val="22"/>
              </w:rPr>
              <w:t>12,24 %</w:t>
            </w:r>
          </w:p>
        </w:tc>
      </w:tr>
    </w:tbl>
    <w:p w14:paraId="19FE1268" w14:textId="77777777" w:rsidR="00AE2A69" w:rsidRPr="006D1BC4" w:rsidRDefault="00AE2A69" w:rsidP="00AE2A69">
      <w:pPr>
        <w:ind w:firstLine="284"/>
      </w:pPr>
      <w:r>
        <w:t>Показаны значимые различия на визите В2 (p &lt; 0,05) и незначимые различия между группами на визите В1, В3 и В4 (p &gt; 0,05).</w:t>
      </w:r>
    </w:p>
    <w:p w14:paraId="27C1F482" w14:textId="77777777" w:rsidR="00872777" w:rsidRDefault="00AE2A69" w:rsidP="00AE2A69">
      <w:pPr>
        <w:ind w:firstLine="284"/>
      </w:pPr>
      <w:r>
        <w:t xml:space="preserve">Пациенты самостоятельно или с помощью родителей оценивали основные жалобы в дневнике по 10-бальной визуально-аналоговой шкале. На </w:t>
      </w:r>
      <w:hyperlink w:anchor="bookmark13" w:tooltip="Текущий документ">
        <w:r>
          <w:rPr>
            <w:color w:val="2B7CA5"/>
          </w:rPr>
          <w:t>рис. 2</w:t>
        </w:r>
      </w:hyperlink>
      <w:r>
        <w:t xml:space="preserve"> представлена динамика самостоятельно оцененных симптомов ринореи и головной боли у пациентов с вирусным РС.</w:t>
      </w:r>
    </w:p>
    <w:p w14:paraId="4314CFF6" w14:textId="6B60F727" w:rsidR="00AE2A69" w:rsidRPr="006D1BC4" w:rsidRDefault="00AE2A69" w:rsidP="00AE2A69">
      <w:pPr>
        <w:ind w:firstLine="284"/>
      </w:pPr>
      <w:r>
        <w:t>Согласно результатам самооценки регистрировалась регрессия ринореи у пациентов обеих групп: с 5,46 балла до 5,22 балла в День 2 и до 4,40 балла в День 3 у</w:t>
      </w:r>
      <w:r w:rsidR="00A46057">
        <w:t xml:space="preserve"> пациентов в основной группе. У </w:t>
      </w:r>
      <w:r>
        <w:t xml:space="preserve">пациентов контрольной группы регистрировали уменьшение с 4,96–4,99 балла в День 2 и до 4,21 балла в День 3. Сравнение между группами обнаружило значимые различия в День 2 и в День 3 лечения (p &lt; 0,05). С Дня 8 симптом ринореи практически отсутствовал у пациентов обеих групп: </w:t>
      </w:r>
      <w:bookmarkStart w:id="4" w:name="bookmark13"/>
      <w:r>
        <w:t>0,82</w:t>
      </w:r>
      <w:bookmarkEnd w:id="4"/>
      <w:r>
        <w:t xml:space="preserve"> балла в основной группе и 0,97 балла в контрольной группе.</w:t>
      </w:r>
    </w:p>
    <w:p w14:paraId="107AE258" w14:textId="77777777" w:rsidR="00AE2A69" w:rsidRPr="006D1BC4" w:rsidRDefault="00AE2A69" w:rsidP="00AE2A69">
      <w:pPr>
        <w:ind w:firstLine="284"/>
      </w:pPr>
      <w:r>
        <w:t>Исследовали динамику самооценки симптома «головная боль». У пациентов основной группы регистрировали уменьшение с 2,11 до 1,96 балла в День 2 и до 1,25 балла в День 3. У пациентов контрольной группы регистрировали уменьшение с 2,08 до 1,92 балла в День 2 и до 1,29 балла в День 3.</w:t>
      </w:r>
    </w:p>
    <w:p w14:paraId="5549F281" w14:textId="77777777" w:rsidR="00AE2A69" w:rsidRPr="006D1BC4" w:rsidRDefault="00AE2A69" w:rsidP="00AE2A69">
      <w:pPr>
        <w:ind w:firstLine="284"/>
      </w:pPr>
      <w:r>
        <w:t>Сравнение регрессии ринореи согласно самооценке пациентов между группами обнаружило значимые различия в День 4 лечения (p &lt; 0,05).</w:t>
      </w:r>
    </w:p>
    <w:p w14:paraId="5AEF5158" w14:textId="3FD72B81" w:rsidR="00AE2A69" w:rsidRPr="006D1BC4" w:rsidRDefault="00AE2A69" w:rsidP="00AE2A69">
      <w:pPr>
        <w:ind w:firstLine="284"/>
      </w:pPr>
      <w:r>
        <w:t xml:space="preserve">На </w:t>
      </w:r>
      <w:hyperlink w:anchor="bookmark14" w:tooltip="Текущий документ">
        <w:r>
          <w:rPr>
            <w:color w:val="2B7CA5"/>
          </w:rPr>
          <w:t>рис. 3</w:t>
        </w:r>
      </w:hyperlink>
      <w:r>
        <w:t xml:space="preserve"> представлена динамика самостоятельно оцененных симптомов ринореи и головной боли у пациентов с поствирусным РС.</w:t>
      </w:r>
      <w:r w:rsidR="00450855">
        <w:br w:type="column"/>
      </w:r>
      <w:r>
        <w:t>Согласно результатам самооценки регистрировалась регрессия ринореи у пациентов обеих групп: с 3,88 балла до 3,69 балла в День 2 и до 2,89 балла в День 3 у</w:t>
      </w:r>
      <w:r w:rsidR="00450855">
        <w:t xml:space="preserve"> пациентов в основной группе. У </w:t>
      </w:r>
      <w:r>
        <w:t>пациентов контрольной группы регистрировали уменьшение с 3,85 до 3,73 балла в День 2 и до 3,11 балла в День 3. Симптомы ринореи практически отсутствовали у пациентов основной группы с Дня 9 и составляли 0,02 балла в День 10 в контрольной группе. Сравнение регрессии ринореи показало значимые различия с дня 4 до дня 8 (p. 0,05).</w:t>
      </w:r>
    </w:p>
    <w:p w14:paraId="0D05CA05" w14:textId="2BEE5DBC" w:rsidR="00872777" w:rsidRPr="00450855" w:rsidRDefault="00AE2A69" w:rsidP="00450855">
      <w:pPr>
        <w:ind w:firstLine="284"/>
      </w:pPr>
      <w:r>
        <w:t>Динамика самооценки симптома головной боли исследовалась у пациентов с поствирусным РС. У пациентов основной группы регистрировали уменьшение с 2,17 до 1,84 балла в День 2 и до 1,17 балла в День 3</w:t>
      </w:r>
      <w:r w:rsidRPr="00450855">
        <w:t>.</w:t>
      </w:r>
      <w:r w:rsidR="00872777" w:rsidRPr="00450855">
        <w:t xml:space="preserve"> </w:t>
      </w:r>
      <w:r w:rsidR="00872777" w:rsidRPr="00450855">
        <w:t>У пациентов контрольной группы регистрировали уменьшение с 2,15 до 1,94 балла в День 2 и до 1,53 балла в День 3. Головная боль отсутствовала у пациентов основной группы начиная с Дня 7, а у пациентов контрольной группы — с Дня 9.</w:t>
      </w:r>
    </w:p>
    <w:p w14:paraId="3223ECD2" w14:textId="77777777" w:rsidR="00872777" w:rsidRPr="00450855" w:rsidRDefault="00872777" w:rsidP="00872777">
      <w:pPr>
        <w:ind w:firstLine="284"/>
      </w:pPr>
      <w:r w:rsidRPr="00450855">
        <w:t>Сравнение регрессии головной боли демонстрирует значимые различия с Дня 3 до Дня 5 лечения (p &lt; 0,05).</w:t>
      </w:r>
    </w:p>
    <w:p w14:paraId="27410750" w14:textId="77777777" w:rsidR="00872777" w:rsidRPr="00450855" w:rsidRDefault="00872777" w:rsidP="00872777">
      <w:pPr>
        <w:ind w:firstLine="284"/>
      </w:pPr>
      <w:r w:rsidRPr="00450855">
        <w:t xml:space="preserve">Согласно дизайну исследования на визите В2 (День 5 лечения) проводили полную оценку состояния пациента и принимали решение о необходимости антибиотикотерапии. В </w:t>
      </w:r>
      <w:hyperlink w:anchor="bookmark15" w:tooltip="Текущий документ">
        <w:r w:rsidRPr="00450855">
          <w:rPr>
            <w:color w:val="2B7CA5"/>
          </w:rPr>
          <w:t>таблице 4</w:t>
        </w:r>
      </w:hyperlink>
      <w:r w:rsidRPr="00450855">
        <w:t xml:space="preserve"> представлены данные относительно назначения антибиотиков у пациентов с острым РС.</w:t>
      </w:r>
    </w:p>
    <w:p w14:paraId="04C2456F" w14:textId="191194A4" w:rsidR="00872777" w:rsidRPr="00450855" w:rsidRDefault="00872777" w:rsidP="00872777">
      <w:pPr>
        <w:ind w:firstLine="284"/>
      </w:pPr>
      <w:r w:rsidRPr="00450855">
        <w:t xml:space="preserve">Антибиотикотерапию назначили 17 из 275 (6,18 %) пациентов с ОРС: Семи из 154 пациентов (4,54 %) в основной группе назначили антибиотикотерапию, а в контрольной группе — 10 из 121 (8,26 %) пациентов. Антибиотики назначили 6 (3,57 %) из 168 пациентов с острым вирусным РС и 11 (10,28 %) из 107 пациентов с поствирусным РС. Двум из 96 пациентов (2,08 %) с острым вирусным РС в основной группе </w:t>
      </w:r>
      <w:r w:rsidR="00A46057">
        <w:t>назначили антибиотикотерапию, а </w:t>
      </w:r>
      <w:r w:rsidRPr="00450855">
        <w:t>в контрольной группе — 4 из 72 (5,55 %) пациентов. Пяти пациентам из 58 (8,62 %) с острым поствирусным РС требовалась антибиотикотерапия в основной группе и 6 из 49 (12,24 %) — в контрольной группе.</w:t>
      </w:r>
    </w:p>
    <w:p w14:paraId="4F4433E5" w14:textId="77777777" w:rsidR="00AE2A69" w:rsidRPr="006D1BC4" w:rsidRDefault="00AE2A69" w:rsidP="00AE2A69">
      <w:pPr>
        <w:pStyle w:val="Style2"/>
      </w:pPr>
      <w:r w:rsidRPr="00450855">
        <w:t>Безопасность и</w:t>
      </w:r>
      <w:r>
        <w:t xml:space="preserve"> переносимость</w:t>
      </w:r>
    </w:p>
    <w:p w14:paraId="0687ACA4" w14:textId="77777777" w:rsidR="00AE2A69" w:rsidRPr="006D1BC4" w:rsidRDefault="00AE2A69" w:rsidP="00AE2A69">
      <w:pPr>
        <w:ind w:firstLine="284"/>
      </w:pPr>
      <w:r>
        <w:t>Анализ результатов оценки переносимости показал, что лечение хорошо или очень хорошо переносилось во всех случаях. В процессе лечения никаких побочных эффектов не было зарегистрировано ни у одного пациента.</w:t>
      </w:r>
    </w:p>
    <w:p w14:paraId="5461313F" w14:textId="3C554114" w:rsidR="00AE2A69" w:rsidRDefault="00AE2A69" w:rsidP="00AE2A69">
      <w:pPr>
        <w:ind w:firstLine="284"/>
      </w:pPr>
    </w:p>
    <w:p w14:paraId="2DAE7A9A" w14:textId="77777777" w:rsidR="00AE2A69" w:rsidRPr="00AE2A69" w:rsidRDefault="00AE2A69" w:rsidP="00AE2A69">
      <w:pPr>
        <w:ind w:firstLine="284"/>
        <w:rPr>
          <w:lang w:val="en-US"/>
        </w:rPr>
        <w:sectPr w:rsidR="00AE2A69" w:rsidRPr="00AE2A69" w:rsidSect="003352E3">
          <w:type w:val="continuous"/>
          <w:pgSz w:w="12240" w:h="16834"/>
          <w:pgMar w:top="993" w:right="680" w:bottom="993" w:left="851" w:header="680" w:footer="624" w:gutter="0"/>
          <w:cols w:num="2" w:space="349"/>
          <w:noEndnote/>
          <w:docGrid w:linePitch="360"/>
        </w:sectPr>
      </w:pPr>
    </w:p>
    <w:p w14:paraId="6991BD3F" w14:textId="2B47567F" w:rsidR="00887103" w:rsidRPr="006D1BC4" w:rsidRDefault="00737FC5" w:rsidP="00A0016B">
      <w:pPr>
        <w:pStyle w:val="Style1"/>
      </w:pPr>
      <w:r>
        <w:lastRenderedPageBreak/>
        <w:t>Обсуждение</w:t>
      </w:r>
    </w:p>
    <w:p w14:paraId="1716008B" w14:textId="77777777" w:rsidR="00887103" w:rsidRPr="006D1BC4" w:rsidRDefault="00737FC5" w:rsidP="00A0016B">
      <w:pPr>
        <w:ind w:firstLine="284"/>
      </w:pPr>
      <w:r>
        <w:t>Острый риносинусит делится на вирусную (простуда) и поствирусную/невирусную форму. Термин «поствирусный РС» выбрали, чтобы показать, что большинство случаев ОРС не являются бактериальными. Следовательно, не более чем 5 % пациентов с ОРС может потребоваться противомикробная терапия. Однако, антибиотики также назначают по поводу острой респираторной инфекции в 4–9 раз чаще, чем предлагается в клинических рекомендациях [</w:t>
      </w:r>
      <w:hyperlink w:anchor="bookmark21" w:tooltip="Текущий документ">
        <w:r>
          <w:rPr>
            <w:color w:val="2B7CA5"/>
          </w:rPr>
          <w:t>6</w:t>
        </w:r>
      </w:hyperlink>
      <w:r>
        <w:t>]. Одной из стратегий уменьшения количества лишних назначений является назначения лечения без антибиотиков и активное наблюдение, при этом есть несколько дней на принятие решения о целесообразности антибиотикотерапии.</w:t>
      </w:r>
    </w:p>
    <w:p w14:paraId="421F8221" w14:textId="04AF4573" w:rsidR="00887103" w:rsidRPr="006D1BC4" w:rsidRDefault="00737FC5" w:rsidP="00A0016B">
      <w:pPr>
        <w:ind w:firstLine="284"/>
      </w:pPr>
      <w:r>
        <w:t>Многие специалисты выражают мнение о том наличие ринореи, стекания по задней стенке носоглотки, заложенности носа и головной боли у пациентов с острым риносинуситом является ведущим фактором необоснованного назначения антибиотиков как врачами, так собственно и желание получать антибиотикотерапию пациентами [</w:t>
      </w:r>
      <w:hyperlink w:anchor="bookmark23" w:tooltip="Текущий документ">
        <w:r>
          <w:rPr>
            <w:color w:val="2B7CA5"/>
          </w:rPr>
          <w:t>8</w:t>
        </w:r>
      </w:hyperlink>
      <w:r>
        <w:t>].</w:t>
      </w:r>
    </w:p>
    <w:p w14:paraId="4DCFF737" w14:textId="77777777" w:rsidR="00887103" w:rsidRPr="006D1BC4" w:rsidRDefault="00737FC5" w:rsidP="00A0016B">
      <w:pPr>
        <w:ind w:firstLine="284"/>
      </w:pPr>
      <w:r>
        <w:t>В данном исследовании было продемонстрировано, что использование стандартизированного фитоэкстракта пяти лекарственных растений дополнительно к стандартной симптоматической терапии у пациентов с острым риносинуситом обладает доказанным терапевтическим эффектом в первые дни лечения.</w:t>
      </w:r>
    </w:p>
    <w:p w14:paraId="3E4BE0E8" w14:textId="61C531A3" w:rsidR="00887103" w:rsidRPr="006D1BC4" w:rsidRDefault="00737FC5" w:rsidP="00A0016B">
      <w:pPr>
        <w:ind w:firstLine="284"/>
      </w:pPr>
      <w:r>
        <w:t>Пациенты с острым поствирусным риносинуситом в основной группе продемонстрировали клинически значимое соответствующие уменьшение выраженности симптомов (ринореи, заложенности носа и стекания по задней стенке носоглотки), что оценивалось врачом на визите В2, в сравнении с контрольной группой (p &lt; 0,005). Были зарегистрированы значимые различия во время самооценки выраженности ринореи пациентами по 10-бальной шкале в День 2 или Де</w:t>
      </w:r>
      <w:r w:rsidR="00DC3143">
        <w:t>нь 3 лечения, головной боли — в </w:t>
      </w:r>
      <w:r>
        <w:t>День 4 лечения (p &lt; 0,005).</w:t>
      </w:r>
    </w:p>
    <w:p w14:paraId="7FFFFBA5" w14:textId="77777777" w:rsidR="00887103" w:rsidRPr="006D1BC4" w:rsidRDefault="00737FC5" w:rsidP="00A0016B">
      <w:pPr>
        <w:ind w:firstLine="284"/>
      </w:pPr>
      <w:r>
        <w:t>Пациенты с острым поствирусным риносинуситом в основной группе с добавлением стандартизированного фитоэкстракта продемонстрировали клинически значимое соответствующее уменьшение выраженности симптомов (ринореи, заложенности носа и стекания по задней стенке носоглотки), что оценивалось врачом на визите В2 по 4-бальной шкале (p &lt; 0,005). Были зарегистрированы значимые различия во время самооценки выраженности ринореи пациентами по 10-бальной шкале с Дня 4 до Дня 8 лечения, головной боли — с Дня 3 до Дня 5 лечения (p &lt; 0,005).</w:t>
      </w:r>
    </w:p>
    <w:p w14:paraId="207FC485" w14:textId="77777777" w:rsidR="00A0016B" w:rsidRPr="006D1BC4" w:rsidRDefault="00737FC5" w:rsidP="00A0016B">
      <w:pPr>
        <w:ind w:firstLine="284"/>
      </w:pPr>
      <w:r>
        <w:t>Симптомы, подобные за степенью выраженности, оценивающиеся как врачом, так и на основании самооценки пациентов в контрольной группе, были достигнуты на визите В3, то есть в День 7 лечения, когда различия между баллами выраженности симптомов не были значимыми (p &gt; 0,005). Следовательно, в течение 7-дневного периода наблюдения в основной группе достигли «терапевтического эффекта» в три дня, в сравнении с контрольной группой.</w:t>
      </w:r>
    </w:p>
    <w:p w14:paraId="4F6EF362" w14:textId="28E3C320" w:rsidR="00887103" w:rsidRPr="006D1BC4" w:rsidRDefault="00737FC5" w:rsidP="004C6E27">
      <w:pPr>
        <w:ind w:firstLine="284"/>
      </w:pPr>
      <w:r>
        <w:t>Наши результаты отражают немногочисленные литературные данные, демонстрирующие эффективность препарата Синупрет</w:t>
      </w:r>
      <w:r>
        <w:rPr>
          <w:vertAlign w:val="superscript"/>
        </w:rPr>
        <w:t>®</w:t>
      </w:r>
      <w:r>
        <w:t xml:space="preserve"> для лечения острого риносинусита у взрослых и детей [</w:t>
      </w:r>
      <w:hyperlink w:anchor="bookmark30" w:tooltip="Текущий документ">
        <w:r>
          <w:rPr>
            <w:color w:val="2B7CA5"/>
          </w:rPr>
          <w:t>15</w:t>
        </w:r>
        <w:r w:rsidR="00872777">
          <w:rPr>
            <w:color w:val="2B7CA5"/>
            <w:lang w:val="en-US"/>
          </w:rPr>
          <w:t>–</w:t>
        </w:r>
        <w:r>
          <w:rPr>
            <w:color w:val="2B7CA5"/>
          </w:rPr>
          <w:t>18</w:t>
        </w:r>
      </w:hyperlink>
      <w:r>
        <w:t xml:space="preserve">]. Результаты, полученные в данных исследованиях, продемонстрировали, что в группе активного лечения в День 10 происходило облегчение симптомов риносинусита, а в группе плацебо это регистрировали только в День 14. Положительное влияние на клинические симптомы ОРС подтверждается ранее полученными данными о том, что стандартизированный фитоэкстракт усиливает активность цилиарного эпителия </w:t>
      </w:r>
      <w:r>
        <w:rPr>
          <w:i/>
        </w:rPr>
        <w:t>in vitro</w:t>
      </w:r>
      <w:r w:rsidR="00872777">
        <w:rPr>
          <w:i/>
          <w:lang w:val="en-US"/>
        </w:rPr>
        <w:t xml:space="preserve"> </w:t>
      </w:r>
      <w:hyperlink w:anchor="bookmark25" w:tooltip="Текущий документ">
        <w:r>
          <w:rPr>
            <w:color w:val="2B7CA5"/>
          </w:rPr>
          <w:t>[10].</w:t>
        </w:r>
      </w:hyperlink>
    </w:p>
    <w:p w14:paraId="6E7BE5B8" w14:textId="46D22E73" w:rsidR="00887103" w:rsidRPr="006D1BC4" w:rsidRDefault="00737FC5" w:rsidP="004C6E27">
      <w:pPr>
        <w:ind w:firstLine="284"/>
      </w:pPr>
      <w:r>
        <w:t xml:space="preserve">Одним из наиболее важных симптомов ОРС, касающимся качества жизни пациентов, является головная боль. При вирусном риносинусите она может связываться с токсическим влиянием вирусов и реактивным отеком слизистой носа и пазух; при поствирусном риносинусите она может связываться с отечно-воспалительными изменениями слизистой оболочки пазух и </w:t>
      </w:r>
      <w:r>
        <w:t xml:space="preserve">блокадой протоков. В нашем исследовании продемонстрирована значимо лучшая динамика облегчения головной боли согласно самооценке пациентов по 10-бальной шкале в основной группе в сравнении с контрольной группой в День 4 при остром вирусном риносинусите и в День 3 лечения поствирусного РС (p &lt; 0,005). Достигнутый клинический эффект, в частности в группе поствирусного РС, когда отечно-воспалительные изменения слизистой носа и пазух особенно выражены, подтверждается ранее полученными данными о противоотечных и противовоспалительных свойствах препарата Синупрет </w:t>
      </w:r>
      <w:r>
        <w:rPr>
          <w:i/>
        </w:rPr>
        <w:t>in vivo</w:t>
      </w:r>
      <w:r>
        <w:t xml:space="preserve"> [</w:t>
      </w:r>
      <w:hyperlink w:anchor="bookmark26" w:tooltip="Текущий документ">
        <w:r>
          <w:rPr>
            <w:color w:val="2B7CA5"/>
          </w:rPr>
          <w:t>11</w:t>
        </w:r>
      </w:hyperlink>
      <w:r>
        <w:t>].</w:t>
      </w:r>
    </w:p>
    <w:p w14:paraId="2228ABFF" w14:textId="259E40C2" w:rsidR="00887103" w:rsidRPr="006D1BC4" w:rsidRDefault="00737FC5" w:rsidP="004C6E27">
      <w:pPr>
        <w:ind w:firstLine="284"/>
      </w:pPr>
      <w:r>
        <w:t xml:space="preserve">Следовательно, важным и интересным выводом в исследовании является то, что использование стандартизированного фитоэкстракта пяти лекарственных растения у пациентов с острым риносинуситом способствует выраженной значимой регрессии таких важных симптомов, как ринорея, стекание по задней стенке носоглотки, заложенность носа </w:t>
      </w:r>
      <w:r w:rsidR="00DC3143">
        <w:t>и головная боль на визите В2, в </w:t>
      </w:r>
      <w:r>
        <w:t>сравнении с контролем (p &lt; 0,005). Подобные результаты у пациентов контрольной группы были достигнуты на визите В3. «Терапевтический эффект» благодаря применению фитоэкстракта достигается за три дня, с 7-дневным периодом наблюдения.</w:t>
      </w:r>
    </w:p>
    <w:p w14:paraId="43C6B894" w14:textId="39A3EDB1" w:rsidR="00D2416A" w:rsidRPr="006D1BC4" w:rsidRDefault="00737FC5" w:rsidP="004C6E27">
      <w:pPr>
        <w:ind w:firstLine="284"/>
      </w:pPr>
      <w:r>
        <w:t>Многие ученые выражают мнение о том наличие регрессии ринореи, стекания по задней стенке носоглотки, заложенности носа и головной боли у пациентов с острым риносинуситом является ведущим фактором необоснованного назначения антибиотиков как врачами, так собственно и желание получать антибиотикотерапию пациентами [</w:t>
      </w:r>
      <w:hyperlink w:anchor="bookmark23" w:tooltip="Текущий документ">
        <w:r>
          <w:rPr>
            <w:color w:val="2B7CA5"/>
          </w:rPr>
          <w:t>8</w:t>
        </w:r>
      </w:hyperlink>
      <w:r>
        <w:t>]. Доказанная эффективность стандартизированного фитоэкстракта является важным аргументом уменьшения желания пациентов и врачей назначать антибиотики в связи со слабой регрессией симптомов, в частности в первые дни лечения.</w:t>
      </w:r>
    </w:p>
    <w:p w14:paraId="7B424F22" w14:textId="77777777" w:rsidR="00887103" w:rsidRPr="006D1BC4" w:rsidRDefault="00737FC5" w:rsidP="004C6E27">
      <w:pPr>
        <w:ind w:firstLine="284"/>
      </w:pPr>
      <w:r>
        <w:t>Согласно дизайну, в нашем исследовании не включали пациентов, которым требовалось немедленное назначение антибиотикотерапии. Решение о назначении антибиотиков принималось после оценки динамики регрессии симптомов на визите В2. При слабой динамике регрессии симптомов или ее отсутствии назначали антибиотикотерапию. На самом деле, назначение антибиотикотерапии подтверждает, что пациент имеет диагностический критерий острого бактериального риносинусита. В нашем исследовании 17 (6,18 %) из 275 пациентов с РС назначили антибиотики. Полученные результаты соответствуют литературным данным, согласно которым бактериальный РС обнаруживают в 0,5–5 % случаев ОРС [</w:t>
      </w:r>
      <w:hyperlink w:anchor="bookmark17" w:tooltip="Текущий документ">
        <w:r>
          <w:rPr>
            <w:color w:val="2B7CA5"/>
          </w:rPr>
          <w:t>2</w:t>
        </w:r>
      </w:hyperlink>
      <w:r>
        <w:t>,</w:t>
      </w:r>
      <w:hyperlink w:anchor="bookmark18" w:tooltip="Текущий документ">
        <w:r>
          <w:rPr>
            <w:color w:val="2B7CA5"/>
          </w:rPr>
          <w:t>3</w:t>
        </w:r>
      </w:hyperlink>
      <w:r>
        <w:t>,</w:t>
      </w:r>
      <w:hyperlink w:anchor="bookmark21" w:tooltip="Текущий документ">
        <w:r>
          <w:rPr>
            <w:color w:val="2B7CA5"/>
          </w:rPr>
          <w:t>6</w:t>
        </w:r>
      </w:hyperlink>
      <w:r>
        <w:t>].</w:t>
      </w:r>
    </w:p>
    <w:p w14:paraId="39E2B287" w14:textId="77777777" w:rsidR="00887103" w:rsidRPr="006D1BC4" w:rsidRDefault="00737FC5" w:rsidP="004C6E27">
      <w:pPr>
        <w:ind w:firstLine="284"/>
      </w:pPr>
      <w:r>
        <w:t>Семи из 154 пациентов (4,54 %) в основной группе назначили антибиотикотерапию, а в контрольной группе — 10 из 121 (8,26 %) пациентов. Таким образом, применение стандартизированного фитоэкстракта пяти лекарственных растений в стратегии предупреждения необоснованной антибиотикотерапии у пациентов с острым риносинуситом уменьшает частоту назначения в 1,81 раза.</w:t>
      </w:r>
    </w:p>
    <w:p w14:paraId="48E7C387" w14:textId="77777777" w:rsidR="00887103" w:rsidRPr="006D1BC4" w:rsidRDefault="00737FC5" w:rsidP="004C6E27">
      <w:pPr>
        <w:ind w:firstLine="284"/>
      </w:pPr>
      <w:r>
        <w:t>ОРС делится на вирусную (простуда) и поствирусную форму. При вирусном РС врачу относительно легко установить связь с вирусной инфекцией и избежать назначения антибиотиков. Следовательно, антибактериальную терапию назначили только 6 из 168 пациентов с острым вирусным РС (3,57 %). Двум из 96 пациентов (2,08 %) в основной группе назначили антибиотикотерапию, а в контрольной группе — 4 из 72 (5,55 %) пациентов. Таким образом, использование стандартизированного фитоэкстракта у пациентов с острым вирусным риносинуситом может уменьшить необходимость в назначении антибактериальных препаратов в 2,7 раза.</w:t>
      </w:r>
    </w:p>
    <w:p w14:paraId="7E44EDC0" w14:textId="5D1CF95C" w:rsidR="00887103" w:rsidRPr="006D1BC4" w:rsidRDefault="00737FC5" w:rsidP="004C6E27">
      <w:pPr>
        <w:ind w:firstLine="284"/>
      </w:pPr>
      <w:r>
        <w:t>Намного сложнее избежать назначения антибиотиков в случае усиления симптомов после 5 дней или, если они сохраняются после 10 дней заболевания, то есть при п</w:t>
      </w:r>
      <w:r w:rsidR="00DC3143">
        <w:t>оствирусном РС. Тем не менее, в </w:t>
      </w:r>
      <w:bookmarkStart w:id="5" w:name="_GoBack"/>
      <w:bookmarkEnd w:id="5"/>
      <w:r>
        <w:t>существующих клинических рекомендациях термин «поствирусный РС» выбрали, чтобы показать, что большинство случаев ОРС не являются бактериальными. В нашем исследовании 11 (10,28 %) из 107 пациентов с поствирусным РС назначили антибиотикотерапию. Пяти из 58 пациентов (8,62 %) в основной группе назначили антибиотикотерапию, а в контрольной группе — 6 из 49 (12,24 %) пациентов. Таким образом, использование стандартизированного фитоэкстракта у пациентов с острым поствирусным риносинуситом может уменьшить необходимость в назначении антибактериальных препаратов в 1,4 раза.</w:t>
      </w:r>
    </w:p>
    <w:p w14:paraId="3561EB8B" w14:textId="77777777" w:rsidR="00887103" w:rsidRPr="006D1BC4" w:rsidRDefault="00737FC5" w:rsidP="004C6E27">
      <w:pPr>
        <w:ind w:firstLine="284"/>
      </w:pPr>
      <w:r>
        <w:lastRenderedPageBreak/>
        <w:t>Важным выводом исследования является то, что применение стандартизированного фитоэкстракта пяти лекарственных растения BNO 1012 у пациентов с острым риносинуситом почти в два раза уменьшало потребность в антибиотикотерапии с 8,26 % до 4,54 %.</w:t>
      </w:r>
    </w:p>
    <w:p w14:paraId="0895F2AA" w14:textId="77777777" w:rsidR="00887103" w:rsidRPr="006D1BC4" w:rsidRDefault="00737FC5" w:rsidP="004C6E27">
      <w:pPr>
        <w:ind w:firstLine="284"/>
      </w:pPr>
      <w:r>
        <w:t>Однако, согласно литературным данным, необоснованную антибиотикотерапию назначают в 54–77 % случаев ОРС [</w:t>
      </w:r>
      <w:hyperlink w:anchor="bookmark20" w:tooltip="Текущий документ">
        <w:r>
          <w:rPr>
            <w:color w:val="2B7CA5"/>
          </w:rPr>
          <w:t>5</w:t>
        </w:r>
      </w:hyperlink>
      <w:r>
        <w:t>,</w:t>
      </w:r>
      <w:hyperlink w:anchor="bookmark21" w:tooltip="Текущий документ">
        <w:r>
          <w:rPr>
            <w:color w:val="2B7CA5"/>
          </w:rPr>
          <w:t>6</w:t>
        </w:r>
      </w:hyperlink>
      <w:r>
        <w:t>]. Доказанная высокая эффективность лечения острого риносинусита относительно значительного регресса симптомов в первые дни его проведения позволит шире внедрить начало лечения без антибиотиков в случаях, когда нет абсолютных показаний к их назначению. Это значительно уменьшит количество необоснованных назначений антибактериальных препаратов.</w:t>
      </w:r>
    </w:p>
    <w:p w14:paraId="7B8B1BF3" w14:textId="2B7586B1" w:rsidR="00887103" w:rsidRPr="006D1BC4" w:rsidRDefault="00737FC5" w:rsidP="004C6E27">
      <w:pPr>
        <w:ind w:firstLine="284"/>
      </w:pPr>
      <w:r>
        <w:t>Эффективность стандартизированного фитоэкстракта, описанная в данном исследовании, в целом подтверждает результаты ранее проведенных исследований среди пациентов с острым риносинуситом [</w:t>
      </w:r>
      <w:hyperlink w:anchor="bookmark30" w:tooltip="Текущий документ">
        <w:r>
          <w:rPr>
            <w:color w:val="2B7CA5"/>
          </w:rPr>
          <w:t>15</w:t>
        </w:r>
        <w:r w:rsidR="00872777">
          <w:rPr>
            <w:color w:val="2B7CA5"/>
            <w:lang w:val="en-US"/>
          </w:rPr>
          <w:t>–</w:t>
        </w:r>
        <w:r>
          <w:rPr>
            <w:color w:val="2B7CA5"/>
          </w:rPr>
          <w:t>18</w:t>
        </w:r>
      </w:hyperlink>
      <w:r>
        <w:t>]. Однако, преимуществом является диагностика острого вирусного и поствирусного риносинусита согласно установленным критериям. Однородные по диагнозу и клиническим проявлениям группы рандомизированых пациентов позволили сделать обоснованные выводы по оценке результатов лечения. Количество пациентов с вирусным и поствирусным РС, которые отвечали на лечение на визите В2, было значимо выше в основных группах, в сравнении с контролем.</w:t>
      </w:r>
    </w:p>
    <w:p w14:paraId="22BC4253" w14:textId="77777777" w:rsidR="00887103" w:rsidRPr="006D1BC4" w:rsidRDefault="00737FC5" w:rsidP="004C6E27">
      <w:pPr>
        <w:ind w:firstLine="284"/>
      </w:pPr>
      <w:r>
        <w:t>Дизайн предусматривал сравнительное исследование, что не дало возможности провести «плацебо» контроль. Однако было проведено сравнение с лечение согласно клиническим рекомендациям, предусматривавшим обязательное назначение только симптоматического лечения с использованием ирригационной терапии и, при необходимости, ацетаминофена [</w:t>
      </w:r>
      <w:hyperlink w:anchor="bookmark17" w:tooltip="Текущий документ">
        <w:r>
          <w:rPr>
            <w:color w:val="2B7CA5"/>
          </w:rPr>
          <w:t>2</w:t>
        </w:r>
      </w:hyperlink>
      <w:r>
        <w:t>,</w:t>
      </w:r>
      <w:hyperlink w:anchor="bookmark34" w:tooltip="Текущий документ">
        <w:r>
          <w:rPr>
            <w:color w:val="2B7CA5"/>
          </w:rPr>
          <w:t>19</w:t>
        </w:r>
      </w:hyperlink>
      <w:r>
        <w:t>]. Эффект симптоматической терапии можно считать одинаковым в группах. В связи с этим все отличия в результатах лечения можно отнести за счет клинических эффектов стандартизированного фитоэкстракта BNO-1012, поскольку характеристики групп были сравнимыми.</w:t>
      </w:r>
    </w:p>
    <w:p w14:paraId="2B49262C" w14:textId="4340324D" w:rsidR="00887103" w:rsidRPr="006D1BC4" w:rsidRDefault="00737FC5" w:rsidP="004C6E27">
      <w:pPr>
        <w:pStyle w:val="Style1"/>
      </w:pPr>
      <w:r>
        <w:t>Выводы</w:t>
      </w:r>
    </w:p>
    <w:p w14:paraId="304A2C6B" w14:textId="77777777" w:rsidR="00887103" w:rsidRPr="006D1BC4" w:rsidRDefault="00737FC5" w:rsidP="000E0A55">
      <w:pPr>
        <w:ind w:firstLine="284"/>
      </w:pPr>
      <w:r>
        <w:t>Было показано, что использование стандартизированного фитоэкстракта пяти растения BNO-1012 (Синупрет</w:t>
      </w:r>
      <w:r>
        <w:rPr>
          <w:vertAlign w:val="superscript"/>
        </w:rPr>
        <w:t>®</w:t>
      </w:r>
      <w:r>
        <w:t>) для лечения острого риносинусита дополнительно к стандартной симптоматической терапии обеспечивает значимый клинический эффект в первые 3–4 дня лечения. При сравнении с контролем регистрировали значимое уменьшение выраженности клинических симптомов. «Терапевтический эффект» в течение трех дней уменьшал потребность в назначение антимикробных препаратов. Включение препарата в схему лучения можно рекомендовать пациентам с острым риносинуситом в рамках стратегии начала лечения без антибиотиков в случае, когда нет абсолютных показаний к их назначению. Это значительно уменьшит количество необоснованных назначений антибактериальных препаратов.</w:t>
      </w:r>
    </w:p>
    <w:p w14:paraId="2896D4D2" w14:textId="77777777" w:rsidR="00887103" w:rsidRPr="006D1BC4" w:rsidRDefault="00737FC5" w:rsidP="000E0A55">
      <w:pPr>
        <w:ind w:firstLine="284"/>
      </w:pPr>
      <w:r>
        <w:t>Перспективным направлением будущих исследований является изучение эффективности препарата у пациентов с бактериальным риносинуситом.</w:t>
      </w:r>
    </w:p>
    <w:p w14:paraId="3D6F4EDC" w14:textId="77777777" w:rsidR="00887103" w:rsidRPr="006D1BC4" w:rsidRDefault="00737FC5" w:rsidP="000E0A55">
      <w:pPr>
        <w:spacing w:before="240" w:after="240"/>
        <w:rPr>
          <w:b/>
          <w:bCs/>
        </w:rPr>
      </w:pPr>
      <w:r>
        <w:rPr>
          <w:b/>
          <w:bCs/>
        </w:rPr>
        <w:t>Литература</w:t>
      </w:r>
    </w:p>
    <w:bookmarkStart w:id="6" w:name="bookmark16"/>
    <w:p w14:paraId="72312E34" w14:textId="53C0C6A9" w:rsidR="00887103"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"http://refhub.elsevier.com/S0196-0709(20)30258-1/rf0005" </w:instrText>
      </w:r>
      <w:r w:rsidRPr="00D44157">
        <w:rPr>
          <w:sz w:val="16"/>
          <w:szCs w:val="16"/>
        </w:rPr>
        <w:fldChar w:fldCharType="separate"/>
      </w:r>
      <w:r w:rsidR="00737FC5" w:rsidRPr="00D44157">
        <w:rPr>
          <w:color w:val="2B7CA5"/>
          <w:sz w:val="16"/>
          <w:szCs w:val="16"/>
        </w:rPr>
        <w:t>Kilic SS. Recurrent respiratory tract infection. Recent advances in pediatrics. New</w:t>
      </w:r>
      <w:r w:rsidRPr="00D44157">
        <w:rPr>
          <w:color w:val="2B7CA5"/>
          <w:sz w:val="16"/>
          <w:szCs w:val="16"/>
        </w:rPr>
        <w:fldChar w:fldCharType="end"/>
      </w:r>
      <w:r w:rsidRPr="00D44157">
        <w:rPr>
          <w:color w:val="2B7CA5"/>
          <w:sz w:val="16"/>
          <w:szCs w:val="16"/>
        </w:rPr>
        <w:t xml:space="preserve"> </w:t>
      </w:r>
      <w:hyperlink r:id="rId19" w:history="1">
        <w:r w:rsidRPr="00D44157">
          <w:rPr>
            <w:color w:val="2B7CA5"/>
            <w:sz w:val="16"/>
            <w:szCs w:val="16"/>
          </w:rPr>
          <w:t>Delhi: Jaypee Brothers Medical Publishers; 2004. p. 1-18</w:t>
        </w:r>
        <w:r w:rsidRPr="00D44157">
          <w:rPr>
            <w:sz w:val="16"/>
            <w:szCs w:val="16"/>
          </w:rPr>
          <w:t>.</w:t>
        </w:r>
        <w:bookmarkEnd w:id="6"/>
      </w:hyperlink>
    </w:p>
    <w:bookmarkStart w:id="7" w:name="bookmark17"/>
    <w:p w14:paraId="63C66A63" w14:textId="29AC6FD9" w:rsidR="00887103"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"http://refhub.elsevier.com/S0196-0709(20)30258-1/rf0010" </w:instrText>
      </w:r>
      <w:r w:rsidRPr="00D44157">
        <w:rPr>
          <w:sz w:val="16"/>
          <w:szCs w:val="16"/>
        </w:rPr>
        <w:fldChar w:fldCharType="separate"/>
      </w:r>
      <w:r w:rsidR="00737FC5" w:rsidRPr="00D44157">
        <w:rPr>
          <w:color w:val="2B7CA5"/>
          <w:sz w:val="16"/>
          <w:szCs w:val="16"/>
        </w:rPr>
        <w:t>Fokkens WJ, Lund VJ, Mullol J, Bachert C, Alobid I, Baroody F, et al. European</w:t>
      </w:r>
      <w:r w:rsidRPr="00D44157">
        <w:rPr>
          <w:color w:val="2B7CA5"/>
          <w:sz w:val="16"/>
          <w:szCs w:val="16"/>
        </w:rPr>
        <w:fldChar w:fldCharType="end"/>
      </w:r>
      <w:r w:rsidRPr="00D44157">
        <w:rPr>
          <w:color w:val="2B7CA5"/>
          <w:sz w:val="16"/>
          <w:szCs w:val="16"/>
        </w:rPr>
        <w:t xml:space="preserve"> </w:t>
      </w:r>
      <w:hyperlink r:id="rId20" w:history="1">
        <w:r w:rsidRPr="00D44157">
          <w:rPr>
            <w:color w:val="2B7CA5"/>
            <w:sz w:val="16"/>
            <w:szCs w:val="16"/>
          </w:rPr>
          <w:t>position paper on rhinosinusitis and nasal polyps 2012. Rhinol Suppl</w:t>
        </w:r>
      </w:hyperlink>
      <w:r w:rsidRPr="00D44157">
        <w:rPr>
          <w:color w:val="2B7CA5"/>
          <w:sz w:val="16"/>
          <w:szCs w:val="16"/>
        </w:rPr>
        <w:t xml:space="preserve"> </w:t>
      </w:r>
      <w:hyperlink r:id="rId21" w:history="1">
        <w:r w:rsidRPr="00D44157">
          <w:rPr>
            <w:color w:val="2B7CA5"/>
            <w:sz w:val="16"/>
            <w:szCs w:val="16"/>
          </w:rPr>
          <w:t>2012;23:1 -298. 3. preceding table of contents</w:t>
        </w:r>
        <w:r w:rsidRPr="00D44157">
          <w:rPr>
            <w:sz w:val="16"/>
            <w:szCs w:val="16"/>
          </w:rPr>
          <w:t>.</w:t>
        </w:r>
        <w:bookmarkEnd w:id="7"/>
      </w:hyperlink>
      <w:r w:rsidR="00872777">
        <w:rPr>
          <w:sz w:val="16"/>
          <w:szCs w:val="16"/>
        </w:rPr>
        <w:br w:type="column"/>
      </w:r>
    </w:p>
    <w:p w14:paraId="22C7D2EB" w14:textId="50E595EF" w:rsidR="000C6EBF" w:rsidRPr="00D44157" w:rsidRDefault="00737FC5" w:rsidP="000C6EBF">
      <w:pPr>
        <w:pStyle w:val="aa"/>
        <w:numPr>
          <w:ilvl w:val="0"/>
          <w:numId w:val="8"/>
        </w:numPr>
        <w:ind w:left="284" w:hanging="284"/>
        <w:rPr>
          <w:sz w:val="16"/>
          <w:szCs w:val="16"/>
        </w:rPr>
      </w:pPr>
      <w:bookmarkStart w:id="8" w:name="bookmark18"/>
      <w:r w:rsidRPr="00D44157">
        <w:rPr>
          <w:sz w:val="16"/>
          <w:szCs w:val="16"/>
        </w:rPr>
        <w:t>Bird J, Biggs TC, Thomas M, Salib RJ. Salib Adult acute rhinosinusitis. BMJ</w:t>
      </w:r>
      <w:bookmarkEnd w:id="8"/>
      <w:r w:rsidRPr="00D44157">
        <w:rPr>
          <w:sz w:val="16"/>
          <w:szCs w:val="16"/>
        </w:rPr>
        <w:t xml:space="preserve"> 2013;346. </w:t>
      </w:r>
      <w:hyperlink r:id="rId22" w:history="1">
        <w:r w:rsidRPr="00D44157">
          <w:rPr>
            <w:color w:val="2B7CA5"/>
            <w:sz w:val="16"/>
            <w:szCs w:val="16"/>
          </w:rPr>
          <w:t>https://doi.org/10.1136/bmj.f2687</w:t>
        </w:r>
      </w:hyperlink>
      <w:r w:rsidRPr="00D44157">
        <w:rPr>
          <w:sz w:val="16"/>
          <w:szCs w:val="16"/>
        </w:rPr>
        <w:t>. f 2687.</w:t>
      </w:r>
    </w:p>
    <w:bookmarkStart w:id="9" w:name="bookmark19"/>
    <w:p w14:paraId="7D5D93A1" w14:textId="46D3FF06" w:rsidR="00887103"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"http://refhub.elsevier.com/S0196-0709(20)30258-1/rf0020" </w:instrText>
      </w:r>
      <w:r w:rsidRPr="00D44157">
        <w:rPr>
          <w:sz w:val="16"/>
          <w:szCs w:val="16"/>
        </w:rPr>
        <w:fldChar w:fldCharType="separate"/>
      </w:r>
      <w:r w:rsidR="00737FC5" w:rsidRPr="00D44157">
        <w:rPr>
          <w:color w:val="2B7CA5"/>
          <w:sz w:val="16"/>
          <w:szCs w:val="16"/>
        </w:rPr>
        <w:t>Masood A, Maoumoulidis I, Panesar J. Acute rhinosinusitis in adults: an update on</w:t>
      </w:r>
      <w:r w:rsidRPr="00D44157">
        <w:rPr>
          <w:color w:val="2B7CA5"/>
          <w:sz w:val="16"/>
          <w:szCs w:val="16"/>
        </w:rPr>
        <w:fldChar w:fldCharType="end"/>
      </w:r>
      <w:r w:rsidRPr="00D44157">
        <w:rPr>
          <w:color w:val="2B7CA5"/>
          <w:sz w:val="16"/>
          <w:szCs w:val="16"/>
        </w:rPr>
        <w:t xml:space="preserve"> </w:t>
      </w:r>
      <w:hyperlink r:id="rId23" w:history="1">
        <w:r w:rsidRPr="00D44157">
          <w:rPr>
            <w:color w:val="2B7CA5"/>
            <w:sz w:val="16"/>
            <w:szCs w:val="16"/>
          </w:rPr>
          <w:t>current management. Postgrad Med 2007;83:402-8</w:t>
        </w:r>
        <w:r w:rsidRPr="00D44157">
          <w:rPr>
            <w:sz w:val="16"/>
            <w:szCs w:val="16"/>
          </w:rPr>
          <w:t>.</w:t>
        </w:r>
        <w:bookmarkEnd w:id="9"/>
      </w:hyperlink>
    </w:p>
    <w:bookmarkStart w:id="10" w:name="bookmark20"/>
    <w:p w14:paraId="09F57290" w14:textId="18D56A39" w:rsidR="00887103"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"http://refhub.elsevier.com/S0196-0709(20)30258-1/rf5208" </w:instrText>
      </w:r>
      <w:r w:rsidRPr="00D44157">
        <w:rPr>
          <w:sz w:val="16"/>
          <w:szCs w:val="16"/>
        </w:rPr>
        <w:fldChar w:fldCharType="separate"/>
      </w:r>
      <w:r w:rsidRPr="00D44157">
        <w:rPr>
          <w:color w:val="2B7CA5"/>
          <w:sz w:val="16"/>
          <w:szCs w:val="16"/>
        </w:rPr>
        <w:t>Попович В., Кривопустов С., Бекетова Г. Острый бактериальный риносинусит у детей:</w:t>
      </w:r>
      <w:r w:rsidRPr="00D44157">
        <w:rPr>
          <w:color w:val="2B7CA5"/>
          <w:sz w:val="16"/>
          <w:szCs w:val="16"/>
        </w:rPr>
        <w:fldChar w:fldCharType="end"/>
      </w:r>
      <w:r w:rsidRPr="00D44157">
        <w:rPr>
          <w:color w:val="2B7CA5"/>
          <w:sz w:val="16"/>
          <w:szCs w:val="16"/>
        </w:rPr>
        <w:t xml:space="preserve"> </w:t>
      </w:r>
      <w:hyperlink r:id="rId24" w:history="1">
        <w:r w:rsidRPr="00D44157">
          <w:rPr>
            <w:color w:val="2B7CA5"/>
            <w:sz w:val="16"/>
            <w:szCs w:val="16"/>
          </w:rPr>
          <w:t>многопрофильный взгляд на проблему.</w:t>
        </w:r>
      </w:hyperlink>
      <w:hyperlink r:id="rId25" w:history="1">
        <w:r w:rsidRPr="00D44157">
          <w:rPr>
            <w:color w:val="2B7CA5"/>
            <w:sz w:val="16"/>
            <w:szCs w:val="16"/>
          </w:rPr>
          <w:t xml:space="preserve"> Фокус на фитотерапию с доказанной</w:t>
        </w:r>
      </w:hyperlink>
      <w:r w:rsidRPr="00D44157">
        <w:rPr>
          <w:color w:val="2B7CA5"/>
          <w:sz w:val="16"/>
          <w:szCs w:val="16"/>
        </w:rPr>
        <w:t xml:space="preserve"> </w:t>
      </w:r>
      <w:hyperlink r:id="rId26" w:history="1">
        <w:r w:rsidRPr="00D44157">
          <w:rPr>
            <w:color w:val="2B7CA5"/>
            <w:sz w:val="16"/>
            <w:szCs w:val="16"/>
          </w:rPr>
          <w:t>эффективностью.</w:t>
        </w:r>
      </w:hyperlink>
      <w:hyperlink r:id="rId27" w:history="1">
        <w:r w:rsidRPr="00D44157">
          <w:rPr>
            <w:color w:val="2B7CA5"/>
            <w:sz w:val="16"/>
            <w:szCs w:val="16"/>
          </w:rPr>
          <w:t xml:space="preserve"> Педиатрия.</w:t>
        </w:r>
      </w:hyperlink>
      <w:hyperlink r:id="rId28" w:history="1">
        <w:r w:rsidRPr="00D44157">
          <w:rPr>
            <w:color w:val="2B7CA5"/>
            <w:sz w:val="16"/>
            <w:szCs w:val="16"/>
          </w:rPr>
          <w:t xml:space="preserve"> Восточная Европа 2016;4.</w:t>
        </w:r>
      </w:hyperlink>
      <w:hyperlink r:id="rId29" w:history="1">
        <w:r w:rsidRPr="00D44157">
          <w:rPr>
            <w:color w:val="2B7CA5"/>
            <w:sz w:val="16"/>
            <w:szCs w:val="16"/>
          </w:rPr>
          <w:t xml:space="preserve"> № 3</w:t>
        </w:r>
        <w:r w:rsidRPr="00D44157">
          <w:rPr>
            <w:sz w:val="16"/>
            <w:szCs w:val="16"/>
          </w:rPr>
          <w:t>.</w:t>
        </w:r>
        <w:bookmarkEnd w:id="10"/>
      </w:hyperlink>
    </w:p>
    <w:p w14:paraId="2838C785" w14:textId="346832E6" w:rsidR="00887103" w:rsidRPr="00D44157" w:rsidRDefault="00737FC5" w:rsidP="000C6EBF">
      <w:pPr>
        <w:pStyle w:val="aa"/>
        <w:numPr>
          <w:ilvl w:val="0"/>
          <w:numId w:val="8"/>
        </w:numPr>
        <w:ind w:left="284" w:hanging="284"/>
        <w:rPr>
          <w:sz w:val="16"/>
          <w:szCs w:val="16"/>
        </w:rPr>
      </w:pPr>
      <w:bookmarkStart w:id="11" w:name="bookmark21"/>
      <w:r w:rsidRPr="00D44157">
        <w:rPr>
          <w:sz w:val="16"/>
          <w:szCs w:val="16"/>
        </w:rPr>
        <w:t xml:space="preserve">McCullough Amanda R, Pollack Allan J, Hansen Malene Plejdrup, Glasziou Paul P, Looke David FM, Britt Helena C, et al. Antibiotics for acute respiratory infections in general practice: comparison of prescribing rates with guideline recommendations. Med J Aust 2017;207(2):65-9. </w:t>
      </w:r>
      <w:hyperlink r:id="rId30" w:history="1">
        <w:r w:rsidRPr="00D44157">
          <w:rPr>
            <w:color w:val="2B7CA5"/>
            <w:sz w:val="16"/>
            <w:szCs w:val="16"/>
          </w:rPr>
          <w:t>https://doi.org/10.5694/mja16.01042</w:t>
        </w:r>
      </w:hyperlink>
      <w:r w:rsidRPr="00D44157">
        <w:rPr>
          <w:sz w:val="16"/>
          <w:szCs w:val="16"/>
        </w:rPr>
        <w:t>.</w:t>
      </w:r>
      <w:bookmarkEnd w:id="11"/>
    </w:p>
    <w:p w14:paraId="254AFE8D" w14:textId="70890AE0" w:rsidR="00887103" w:rsidRPr="00D44157" w:rsidRDefault="00737FC5" w:rsidP="000C6EBF">
      <w:pPr>
        <w:pStyle w:val="aa"/>
        <w:numPr>
          <w:ilvl w:val="0"/>
          <w:numId w:val="8"/>
        </w:numPr>
        <w:ind w:left="284" w:hanging="284"/>
        <w:rPr>
          <w:sz w:val="16"/>
          <w:szCs w:val="16"/>
        </w:rPr>
      </w:pPr>
      <w:bookmarkStart w:id="12" w:name="bookmark22"/>
      <w:r w:rsidRPr="00D44157">
        <w:rPr>
          <w:sz w:val="16"/>
          <w:szCs w:val="16"/>
        </w:rPr>
        <w:t>Spurling Geoffrey KP, Del Mar Chris B, Dooley Liz, Foxlee Ruth, Farley Rebecca. Delayed antibiotic prescriptions for respiratory infections. Database of Syst. Rev. 2017;6</w:t>
      </w:r>
      <w:hyperlink r:id="rId31" w:history="1">
        <w:r w:rsidRPr="00D44157">
          <w:rPr>
            <w:color w:val="2B7CA5"/>
            <w:sz w:val="16"/>
            <w:szCs w:val="16"/>
          </w:rPr>
          <w:t>https://www.cochranelibrary.com/cdsr/doi/10.1002/14651858.</w:t>
        </w:r>
      </w:hyperlink>
      <w:r w:rsidRPr="00D44157">
        <w:rPr>
          <w:color w:val="2B7CA5"/>
          <w:sz w:val="16"/>
          <w:szCs w:val="16"/>
        </w:rPr>
        <w:t xml:space="preserve"> </w:t>
      </w:r>
      <w:hyperlink r:id="rId32" w:history="1">
        <w:r w:rsidRPr="00D44157">
          <w:rPr>
            <w:color w:val="2B7CA5"/>
            <w:sz w:val="16"/>
            <w:szCs w:val="16"/>
          </w:rPr>
          <w:t>CD004417.pub5/full</w:t>
        </w:r>
      </w:hyperlink>
      <w:r w:rsidRPr="00D44157">
        <w:rPr>
          <w:sz w:val="16"/>
          <w:szCs w:val="16"/>
        </w:rPr>
        <w:t>.</w:t>
      </w:r>
      <w:bookmarkEnd w:id="12"/>
    </w:p>
    <w:bookmarkStart w:id="13" w:name="bookmark23"/>
    <w:p w14:paraId="49143AC4" w14:textId="3E97067F" w:rsidR="00887103"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"http://refhub.elsevier.com/S0196-0709(20)30258-1/rf0035" </w:instrText>
      </w:r>
      <w:r w:rsidRPr="00D44157">
        <w:rPr>
          <w:sz w:val="16"/>
          <w:szCs w:val="16"/>
        </w:rPr>
        <w:fldChar w:fldCharType="separate"/>
      </w:r>
      <w:r w:rsidR="00737FC5" w:rsidRPr="00D44157">
        <w:rPr>
          <w:color w:val="2B7CA5"/>
          <w:sz w:val="16"/>
          <w:szCs w:val="16"/>
        </w:rPr>
        <w:t>Roca I, Akova M, Baquero F, Carlet J, Cavaleri M, Coenen S, et al. The global threat</w:t>
      </w:r>
      <w:r w:rsidRPr="00D44157">
        <w:rPr>
          <w:color w:val="2B7CA5"/>
          <w:sz w:val="16"/>
          <w:szCs w:val="16"/>
        </w:rPr>
        <w:fldChar w:fldCharType="end"/>
      </w:r>
      <w:r w:rsidRPr="00D44157">
        <w:rPr>
          <w:color w:val="2B7CA5"/>
          <w:sz w:val="16"/>
          <w:szCs w:val="16"/>
        </w:rPr>
        <w:t xml:space="preserve"> </w:t>
      </w:r>
      <w:hyperlink r:id="rId33" w:history="1">
        <w:r w:rsidRPr="00D44157">
          <w:rPr>
            <w:color w:val="2B7CA5"/>
            <w:sz w:val="16"/>
            <w:szCs w:val="16"/>
          </w:rPr>
          <w:t>of antimicrobial resistance: science for intervention. New Microbes New Infect</w:t>
        </w:r>
      </w:hyperlink>
      <w:r w:rsidRPr="00D44157">
        <w:rPr>
          <w:color w:val="2B7CA5"/>
          <w:sz w:val="16"/>
          <w:szCs w:val="16"/>
        </w:rPr>
        <w:t xml:space="preserve"> </w:t>
      </w:r>
      <w:hyperlink r:id="rId34" w:history="1">
        <w:r w:rsidRPr="00D44157">
          <w:rPr>
            <w:color w:val="2B7CA5"/>
            <w:sz w:val="16"/>
            <w:szCs w:val="16"/>
          </w:rPr>
          <w:t>2015;6:22-9</w:t>
        </w:r>
        <w:r w:rsidRPr="00D44157">
          <w:rPr>
            <w:sz w:val="16"/>
            <w:szCs w:val="16"/>
          </w:rPr>
          <w:t>.</w:t>
        </w:r>
        <w:bookmarkEnd w:id="13"/>
      </w:hyperlink>
    </w:p>
    <w:p w14:paraId="281F5F59" w14:textId="79CAAD4E" w:rsidR="00887103" w:rsidRPr="00D44157" w:rsidRDefault="00737FC5" w:rsidP="000C6EBF">
      <w:pPr>
        <w:pStyle w:val="aa"/>
        <w:numPr>
          <w:ilvl w:val="0"/>
          <w:numId w:val="8"/>
        </w:numPr>
        <w:ind w:left="284" w:hanging="284"/>
        <w:rPr>
          <w:sz w:val="16"/>
          <w:szCs w:val="16"/>
        </w:rPr>
      </w:pPr>
      <w:bookmarkStart w:id="14" w:name="bookmark24"/>
      <w:r w:rsidRPr="00D44157">
        <w:rPr>
          <w:sz w:val="16"/>
          <w:szCs w:val="16"/>
        </w:rPr>
        <w:t>Guo R, Canter PH, Ernst E. Herbal medicines for the treatment of rhinosinusitis: a systematic review. Otolaryngol Head Neck Surg 2006;135:496-506</w:t>
      </w:r>
      <w:hyperlink r:id="rId35" w:history="1">
        <w:r w:rsidRPr="00D44157">
          <w:rPr>
            <w:color w:val="2B7CA5"/>
            <w:sz w:val="16"/>
            <w:szCs w:val="16"/>
          </w:rPr>
          <w:t>https://www.</w:t>
        </w:r>
      </w:hyperlink>
      <w:r w:rsidRPr="00D44157">
        <w:rPr>
          <w:color w:val="2B7CA5"/>
          <w:sz w:val="16"/>
          <w:szCs w:val="16"/>
        </w:rPr>
        <w:t xml:space="preserve"> </w:t>
      </w:r>
      <w:hyperlink r:id="rId36" w:history="1">
        <w:r w:rsidRPr="00D44157">
          <w:rPr>
            <w:color w:val="2B7CA5"/>
            <w:sz w:val="16"/>
            <w:szCs w:val="16"/>
          </w:rPr>
          <w:t>ncbi.nlm.nih.gov/pubmed/17011407</w:t>
        </w:r>
      </w:hyperlink>
      <w:r w:rsidRPr="00D44157">
        <w:rPr>
          <w:sz w:val="16"/>
          <w:szCs w:val="16"/>
        </w:rPr>
        <w:t>.</w:t>
      </w:r>
      <w:bookmarkEnd w:id="14"/>
    </w:p>
    <w:p w14:paraId="5699B39F" w14:textId="00881E99" w:rsidR="00887103" w:rsidRPr="00D44157" w:rsidRDefault="00737FC5" w:rsidP="000C6EBF">
      <w:pPr>
        <w:pStyle w:val="aa"/>
        <w:numPr>
          <w:ilvl w:val="0"/>
          <w:numId w:val="8"/>
        </w:numPr>
        <w:ind w:left="284" w:hanging="284"/>
        <w:rPr>
          <w:sz w:val="16"/>
          <w:szCs w:val="16"/>
        </w:rPr>
      </w:pPr>
      <w:bookmarkStart w:id="15" w:name="bookmark25"/>
      <w:r w:rsidRPr="00D44157">
        <w:rPr>
          <w:sz w:val="16"/>
          <w:szCs w:val="16"/>
        </w:rPr>
        <w:t xml:space="preserve">VG1 Lizogub, Riley DS, Heger M. Efficacy of a pelargonium sidoides preparation in patients with the common cold: a randomized, double blind, placebo-controlled clinical trial. </w:t>
      </w:r>
      <w:hyperlink r:id="rId37" w:history="1">
        <w:r w:rsidRPr="00D44157">
          <w:rPr>
            <w:color w:val="2B7CA5"/>
            <w:sz w:val="16"/>
            <w:szCs w:val="16"/>
          </w:rPr>
          <w:t>https://www.ncbi.nlm.nih.gov/pubmed/18005909</w:t>
        </w:r>
      </w:hyperlink>
      <w:r w:rsidRPr="00D44157">
        <w:rPr>
          <w:sz w:val="16"/>
          <w:szCs w:val="16"/>
        </w:rPr>
        <w:t>.</w:t>
      </w:r>
      <w:bookmarkEnd w:id="15"/>
    </w:p>
    <w:bookmarkStart w:id="16" w:name="bookmark26"/>
    <w:p w14:paraId="492C6A94" w14:textId="77777777" w:rsidR="000C6EBF"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"http://refhub.elsevier.com/S0196-0709(20)30258-1/rf0050" </w:instrText>
      </w:r>
      <w:r w:rsidRPr="00D44157">
        <w:rPr>
          <w:sz w:val="16"/>
          <w:szCs w:val="16"/>
        </w:rPr>
        <w:fldChar w:fldCharType="separate"/>
      </w:r>
      <w:r w:rsidR="00737FC5" w:rsidRPr="00D44157">
        <w:rPr>
          <w:color w:val="2B7CA5"/>
          <w:sz w:val="16"/>
          <w:szCs w:val="16"/>
        </w:rPr>
        <w:t>Gagnier JJ, Boon H, Rochon P, Moher D, Barnes J, Bombardier C.</w:t>
      </w:r>
      <w:r w:rsidRPr="00D44157">
        <w:rPr>
          <w:color w:val="2B7CA5"/>
          <w:sz w:val="16"/>
          <w:szCs w:val="16"/>
        </w:rPr>
        <w:fldChar w:fldCharType="end"/>
      </w:r>
      <w:r w:rsidRPr="00D44157">
        <w:rPr>
          <w:color w:val="2B7CA5"/>
          <w:sz w:val="16"/>
          <w:szCs w:val="16"/>
        </w:rPr>
        <w:t xml:space="preserve"> </w:t>
      </w:r>
      <w:hyperlink r:id="rId38" w:history="1">
        <w:r w:rsidRPr="00D44157">
          <w:rPr>
            <w:color w:val="2B7CA5"/>
            <w:sz w:val="16"/>
            <w:szCs w:val="16"/>
          </w:rPr>
          <w:t>Recommendations for reporting randomized controlled trials of herbal interven</w:t>
        </w:r>
      </w:hyperlink>
      <w:hyperlink r:id="rId39" w:history="1">
        <w:r w:rsidRPr="00D44157">
          <w:rPr>
            <w:color w:val="2B7CA5"/>
            <w:sz w:val="16"/>
            <w:szCs w:val="16"/>
          </w:rPr>
          <w:t>tions: explanation and elaboration. J Clin Epidemiol</w:t>
        </w:r>
        <w:bookmarkEnd w:id="16"/>
      </w:hyperlink>
      <w:r w:rsidRPr="00D44157">
        <w:rPr>
          <w:color w:val="2B7CA5"/>
          <w:sz w:val="16"/>
          <w:szCs w:val="16"/>
        </w:rPr>
        <w:t xml:space="preserve"> </w:t>
      </w:r>
      <w:hyperlink r:id="rId40" w:history="1">
        <w:r w:rsidRPr="00D44157">
          <w:rPr>
            <w:color w:val="2B7CA5"/>
            <w:sz w:val="16"/>
            <w:szCs w:val="16"/>
          </w:rPr>
          <w:t>2006;59(11):1134-4917027423</w:t>
        </w:r>
        <w:r w:rsidRPr="00D44157">
          <w:rPr>
            <w:sz w:val="16"/>
            <w:szCs w:val="16"/>
          </w:rPr>
          <w:t>.</w:t>
        </w:r>
      </w:hyperlink>
    </w:p>
    <w:bookmarkStart w:id="17" w:name="bookmark27"/>
    <w:p w14:paraId="6C35FCAC" w14:textId="699AB345" w:rsidR="00887103"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"http://refhub.elsevier.com/S0196-0709(20)30258-1/rf0055" </w:instrText>
      </w:r>
      <w:r w:rsidRPr="00D44157">
        <w:rPr>
          <w:sz w:val="16"/>
          <w:szCs w:val="16"/>
        </w:rPr>
        <w:fldChar w:fldCharType="separate"/>
      </w:r>
      <w:r w:rsidR="00737FC5" w:rsidRPr="00D44157">
        <w:rPr>
          <w:color w:val="2B7CA5"/>
          <w:sz w:val="16"/>
          <w:szCs w:val="16"/>
        </w:rPr>
        <w:t>Zhang S, Skinner D, Hicks SB, Bevensee MO, Sorscher EJ, Lazrak A, et al. Sinupret</w:t>
      </w:r>
      <w:r w:rsidRPr="00D44157">
        <w:rPr>
          <w:color w:val="2B7CA5"/>
          <w:sz w:val="16"/>
          <w:szCs w:val="16"/>
        </w:rPr>
        <w:fldChar w:fldCharType="end"/>
      </w:r>
      <w:r w:rsidR="000C6EBF" w:rsidRPr="00D44157">
        <w:rPr>
          <w:color w:val="2B7CA5"/>
          <w:sz w:val="16"/>
          <w:szCs w:val="16"/>
        </w:rPr>
        <w:t xml:space="preserve"> </w:t>
      </w:r>
      <w:hyperlink r:id="rId41" w:history="1">
        <w:r w:rsidR="000C6EBF" w:rsidRPr="00D44157">
          <w:rPr>
            <w:color w:val="2B7CA5"/>
            <w:sz w:val="16"/>
            <w:szCs w:val="16"/>
          </w:rPr>
          <w:t>activates CFTR and TMEM16A- dependent transepithelial chloride transport and</w:t>
        </w:r>
      </w:hyperlink>
      <w:r w:rsidR="000C6EBF" w:rsidRPr="00D44157">
        <w:rPr>
          <w:color w:val="2B7CA5"/>
          <w:sz w:val="16"/>
          <w:szCs w:val="16"/>
        </w:rPr>
        <w:t xml:space="preserve"> </w:t>
      </w:r>
      <w:hyperlink r:id="rId42" w:history="1">
        <w:r w:rsidR="000C6EBF" w:rsidRPr="00D44157">
          <w:rPr>
            <w:color w:val="2B7CA5"/>
            <w:sz w:val="16"/>
            <w:szCs w:val="16"/>
          </w:rPr>
          <w:t>improves indicators of mucociliary clearance. PLoS One 2014;9(8):e104090</w:t>
        </w:r>
        <w:r w:rsidR="000C6EBF" w:rsidRPr="00D44157">
          <w:rPr>
            <w:sz w:val="16"/>
            <w:szCs w:val="16"/>
          </w:rPr>
          <w:t>.</w:t>
        </w:r>
        <w:bookmarkEnd w:id="17"/>
      </w:hyperlink>
    </w:p>
    <w:bookmarkStart w:id="18" w:name="bookmark28"/>
    <w:p w14:paraId="0F8E75FF" w14:textId="690CE476" w:rsidR="00887103"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"http://refhub.elsevier.com/S0196-0709(20)30258-1/rf0060" </w:instrText>
      </w:r>
      <w:r w:rsidRPr="00D44157">
        <w:rPr>
          <w:sz w:val="16"/>
          <w:szCs w:val="16"/>
        </w:rPr>
        <w:fldChar w:fldCharType="separate"/>
      </w:r>
      <w:r w:rsidR="00737FC5" w:rsidRPr="00D44157">
        <w:rPr>
          <w:color w:val="2B7CA5"/>
          <w:sz w:val="16"/>
          <w:szCs w:val="16"/>
        </w:rPr>
        <w:t>Rossi A, Dehm F, Kiesselbach C, Haunschild J, Sautebin L, Werz O. The novel</w:t>
      </w:r>
      <w:bookmarkEnd w:id="18"/>
      <w:r w:rsidRPr="00D44157">
        <w:rPr>
          <w:color w:val="2B7CA5"/>
          <w:sz w:val="16"/>
          <w:szCs w:val="16"/>
        </w:rPr>
        <w:fldChar w:fldCharType="end"/>
      </w:r>
      <w:r w:rsidRPr="00D44157">
        <w:rPr>
          <w:color w:val="2B7CA5"/>
          <w:sz w:val="16"/>
          <w:szCs w:val="16"/>
        </w:rPr>
        <w:t xml:space="preserve"> </w:t>
      </w:r>
      <w:hyperlink r:id="rId43" w:history="1">
        <w:r w:rsidRPr="00D44157">
          <w:rPr>
            <w:color w:val="2B7CA5"/>
            <w:sz w:val="16"/>
            <w:szCs w:val="16"/>
          </w:rPr>
          <w:t>Sinupre</w:t>
        </w:r>
        <w:r w:rsidRPr="00D44157">
          <w:rPr>
            <w:color w:val="2B7CA5"/>
            <w:sz w:val="16"/>
            <w:szCs w:val="16"/>
            <w:vertAlign w:val="superscript"/>
          </w:rPr>
          <w:t>t®</w:t>
        </w:r>
        <w:r w:rsidRPr="00D44157">
          <w:rPr>
            <w:color w:val="2B7CA5"/>
            <w:sz w:val="16"/>
            <w:szCs w:val="16"/>
          </w:rPr>
          <w:t xml:space="preserve"> dry extract exhibits effectiveness in vivo. Fitoterapia 2012;83:715-20</w:t>
        </w:r>
        <w:r w:rsidRPr="00D44157">
          <w:rPr>
            <w:sz w:val="16"/>
            <w:szCs w:val="16"/>
          </w:rPr>
          <w:t>.</w:t>
        </w:r>
      </w:hyperlink>
    </w:p>
    <w:p w14:paraId="67517C32" w14:textId="004F2776" w:rsidR="00887103" w:rsidRPr="00D44157" w:rsidRDefault="00737FC5" w:rsidP="000C6EBF">
      <w:pPr>
        <w:pStyle w:val="aa"/>
        <w:numPr>
          <w:ilvl w:val="0"/>
          <w:numId w:val="8"/>
        </w:numPr>
        <w:ind w:left="284" w:hanging="284"/>
        <w:rPr>
          <w:sz w:val="16"/>
          <w:szCs w:val="16"/>
        </w:rPr>
      </w:pPr>
      <w:bookmarkStart w:id="19" w:name="bookmark29"/>
      <w:r w:rsidRPr="00D44157">
        <w:rPr>
          <w:sz w:val="16"/>
          <w:szCs w:val="16"/>
        </w:rPr>
        <w:t>Saalm</w:t>
      </w:r>
      <w:r w:rsidRPr="00D44157">
        <w:rPr>
          <w:sz w:val="16"/>
          <w:szCs w:val="16"/>
          <w:lang w:eastAsia="uk-UA" w:bidi="uk-UA"/>
        </w:rPr>
        <w:t>ü</w:t>
      </w:r>
      <w:r w:rsidRPr="00D44157">
        <w:rPr>
          <w:sz w:val="16"/>
          <w:szCs w:val="16"/>
        </w:rPr>
        <w:t>ller B Glatthaar, Rauchhaus U, Rode S, Haunschild J, Saalm</w:t>
      </w:r>
      <w:r w:rsidRPr="00D44157">
        <w:rPr>
          <w:sz w:val="16"/>
          <w:szCs w:val="16"/>
          <w:lang w:eastAsia="uk-UA" w:bidi="uk-UA"/>
        </w:rPr>
        <w:t>ü</w:t>
      </w:r>
      <w:r w:rsidRPr="00D44157">
        <w:rPr>
          <w:sz w:val="16"/>
          <w:szCs w:val="16"/>
        </w:rPr>
        <w:t>ller A. Antiviral activity in vitro of two preparations of the herbal medicinal product Sinupret</w:t>
      </w:r>
      <w:r w:rsidRPr="00D44157">
        <w:rPr>
          <w:sz w:val="16"/>
          <w:szCs w:val="16"/>
          <w:vertAlign w:val="superscript"/>
        </w:rPr>
        <w:t>®</w:t>
      </w:r>
      <w:r w:rsidRPr="00D44157">
        <w:rPr>
          <w:sz w:val="16"/>
          <w:szCs w:val="16"/>
        </w:rPr>
        <w:t xml:space="preserve"> against viruses causing respiratory infections. Phytomedicine 15 December 2011;19(1):1-7. </w:t>
      </w:r>
      <w:hyperlink r:id="rId44" w:history="1">
        <w:r w:rsidRPr="00D44157">
          <w:rPr>
            <w:color w:val="2B7CA5"/>
            <w:sz w:val="16"/>
            <w:szCs w:val="16"/>
          </w:rPr>
          <w:t>https://doi.org/10.1016/j.phymed.2011.10.010</w:t>
        </w:r>
      </w:hyperlink>
      <w:r w:rsidRPr="00D44157">
        <w:rPr>
          <w:sz w:val="16"/>
          <w:szCs w:val="16"/>
        </w:rPr>
        <w:t>.</w:t>
      </w:r>
      <w:bookmarkEnd w:id="19"/>
    </w:p>
    <w:bookmarkStart w:id="20" w:name="bookmark30"/>
    <w:p w14:paraId="432F5EB7" w14:textId="28DE0C94" w:rsidR="00887103" w:rsidRPr="00D44157" w:rsidRDefault="008D2D99" w:rsidP="000C6EBF">
      <w:pPr>
        <w:pStyle w:val="aa"/>
        <w:numPr>
          <w:ilvl w:val="0"/>
          <w:numId w:val="8"/>
        </w:numPr>
        <w:ind w:left="284" w:hanging="284"/>
        <w:rPr>
          <w:sz w:val="16"/>
          <w:szCs w:val="16"/>
        </w:rPr>
      </w:pPr>
      <w:r w:rsidRPr="00D44157">
        <w:rPr>
          <w:color w:val="2B7CA5"/>
          <w:sz w:val="16"/>
          <w:szCs w:val="16"/>
        </w:rPr>
        <w:fldChar w:fldCharType="begin"/>
      </w:r>
      <w:r w:rsidRPr="00D44157">
        <w:rPr>
          <w:color w:val="2B7CA5"/>
          <w:sz w:val="16"/>
          <w:szCs w:val="16"/>
        </w:rPr>
        <w:instrText xml:space="preserve"> HYPERLINK "http://refhub.elsevier.com/S0196-0709(20)30258-1/rf0070" </w:instrText>
      </w:r>
      <w:r w:rsidRPr="00D44157">
        <w:rPr>
          <w:color w:val="2B7CA5"/>
          <w:sz w:val="16"/>
          <w:szCs w:val="16"/>
        </w:rPr>
        <w:fldChar w:fldCharType="separate"/>
      </w:r>
      <w:r w:rsidR="00737FC5" w:rsidRPr="00D44157">
        <w:rPr>
          <w:color w:val="2B7CA5"/>
          <w:sz w:val="16"/>
          <w:szCs w:val="16"/>
        </w:rPr>
        <w:t>Klinische Wirksamkeit eines pflanzlichen Kombinationspr</w:t>
      </w:r>
      <w:r w:rsidRPr="00D44157">
        <w:rPr>
          <w:color w:val="2B7CA5"/>
          <w:sz w:val="16"/>
          <w:szCs w:val="16"/>
        </w:rPr>
        <w:fldChar w:fldCharType="end"/>
      </w:r>
      <w:r w:rsidRPr="00D44157">
        <w:rPr>
          <w:color w:val="2B7CA5"/>
          <w:sz w:val="16"/>
          <w:szCs w:val="16"/>
        </w:rPr>
        <w:t>ä</w:t>
      </w:r>
      <w:hyperlink r:id="rId45" w:history="1">
        <w:r w:rsidRPr="00D44157">
          <w:rPr>
            <w:color w:val="2B7CA5"/>
            <w:sz w:val="16"/>
            <w:szCs w:val="16"/>
          </w:rPr>
          <w:t>parates in der</w:t>
        </w:r>
      </w:hyperlink>
      <w:r w:rsidRPr="00D44157">
        <w:rPr>
          <w:color w:val="2B7CA5"/>
          <w:sz w:val="16"/>
          <w:szCs w:val="16"/>
        </w:rPr>
        <w:t xml:space="preserve"> </w:t>
      </w:r>
      <w:hyperlink r:id="rId46" w:history="1">
        <w:r w:rsidRPr="00D44157">
          <w:rPr>
            <w:color w:val="2B7CA5"/>
            <w:sz w:val="16"/>
            <w:szCs w:val="16"/>
          </w:rPr>
          <w:t>Behandlung der akuten viralen Rhinosinusitis. MMW-Fortschritte der Medizin</w:t>
        </w:r>
      </w:hyperlink>
      <w:r w:rsidRPr="00D44157">
        <w:rPr>
          <w:color w:val="2B7CA5"/>
          <w:sz w:val="16"/>
          <w:szCs w:val="16"/>
        </w:rPr>
        <w:t xml:space="preserve"> </w:t>
      </w:r>
      <w:hyperlink r:id="rId47" w:history="1">
        <w:r w:rsidRPr="00D44157">
          <w:rPr>
            <w:color w:val="2B7CA5"/>
            <w:sz w:val="16"/>
            <w:szCs w:val="16"/>
          </w:rPr>
          <w:t>2015;157(S4):6-11</w:t>
        </w:r>
        <w:r w:rsidRPr="00D44157">
          <w:rPr>
            <w:sz w:val="16"/>
            <w:szCs w:val="16"/>
          </w:rPr>
          <w:t>.</w:t>
        </w:r>
        <w:bookmarkEnd w:id="20"/>
      </w:hyperlink>
    </w:p>
    <w:p w14:paraId="4D453C81" w14:textId="575CA643" w:rsidR="00887103" w:rsidRPr="00D44157" w:rsidRDefault="00737FC5" w:rsidP="000C6EBF">
      <w:pPr>
        <w:pStyle w:val="aa"/>
        <w:numPr>
          <w:ilvl w:val="0"/>
          <w:numId w:val="8"/>
        </w:numPr>
        <w:ind w:left="284" w:hanging="284"/>
        <w:rPr>
          <w:sz w:val="16"/>
          <w:szCs w:val="16"/>
        </w:rPr>
      </w:pPr>
      <w:bookmarkStart w:id="21" w:name="bookmark31"/>
      <w:r w:rsidRPr="00D44157">
        <w:rPr>
          <w:sz w:val="16"/>
          <w:szCs w:val="16"/>
        </w:rPr>
        <w:t xml:space="preserve">Попович В. И., Бекетова Г. В. Результаты рандомизированного контролируемого исследования для определения эффективности комбинирования ирригации солевым раствором и применения фитопрепарата Синупрет, сироп, для лечения детей с острым вирусным риносинуситом в возрасте от 6 до 11 лет. Клиническая фитонаука 2018;4:21. </w:t>
      </w:r>
      <w:hyperlink r:id="rId48" w:history="1">
        <w:r w:rsidRPr="00D44157">
          <w:rPr>
            <w:color w:val="2B7CA5"/>
            <w:sz w:val="16"/>
            <w:szCs w:val="16"/>
          </w:rPr>
          <w:t>https://doi.org/10.1186/s40816-018-0082-y</w:t>
        </w:r>
      </w:hyperlink>
      <w:r w:rsidRPr="00D44157">
        <w:rPr>
          <w:sz w:val="16"/>
          <w:szCs w:val="16"/>
        </w:rPr>
        <w:t>.</w:t>
      </w:r>
      <w:bookmarkEnd w:id="21"/>
    </w:p>
    <w:p w14:paraId="742F0185" w14:textId="198187B1" w:rsidR="00887103" w:rsidRPr="00D44157" w:rsidRDefault="00737FC5" w:rsidP="000C6EBF">
      <w:pPr>
        <w:pStyle w:val="aa"/>
        <w:numPr>
          <w:ilvl w:val="0"/>
          <w:numId w:val="8"/>
        </w:numPr>
        <w:ind w:left="284" w:hanging="284"/>
        <w:rPr>
          <w:sz w:val="16"/>
          <w:szCs w:val="16"/>
        </w:rPr>
      </w:pPr>
      <w:bookmarkStart w:id="22" w:name="bookmark32"/>
      <w:r w:rsidRPr="00D44157">
        <w:rPr>
          <w:sz w:val="16"/>
          <w:szCs w:val="16"/>
        </w:rPr>
        <w:t>Попович В. И., Кошель И. В. Препарат Синупрет</w:t>
      </w:r>
      <w:r w:rsidRPr="00D44157">
        <w:rPr>
          <w:sz w:val="16"/>
          <w:szCs w:val="16"/>
          <w:vertAlign w:val="superscript"/>
        </w:rPr>
        <w:t>®</w:t>
      </w:r>
      <w:r w:rsidRPr="00D44157">
        <w:rPr>
          <w:sz w:val="16"/>
          <w:szCs w:val="16"/>
        </w:rPr>
        <w:t xml:space="preserve"> как дополнительная терапия к ирригации солевым раствором у детей с острым поствирусным риносинуситом. Клиническая фитонаука 2017;3:10. </w:t>
      </w:r>
      <w:hyperlink r:id="rId49" w:history="1">
        <w:r w:rsidRPr="00D44157">
          <w:rPr>
            <w:color w:val="2B7CA5"/>
            <w:sz w:val="16"/>
            <w:szCs w:val="16"/>
          </w:rPr>
          <w:t>https://</w:t>
        </w:r>
      </w:hyperlink>
      <w:r w:rsidRPr="00D44157">
        <w:rPr>
          <w:color w:val="2B7CA5"/>
          <w:sz w:val="16"/>
          <w:szCs w:val="16"/>
        </w:rPr>
        <w:t xml:space="preserve"> </w:t>
      </w:r>
      <w:hyperlink r:id="rId50" w:history="1">
        <w:r w:rsidRPr="00D44157">
          <w:rPr>
            <w:color w:val="2B7CA5"/>
            <w:sz w:val="16"/>
            <w:szCs w:val="16"/>
          </w:rPr>
          <w:t>doi.org/10.1186/s40816-017-0047-6</w:t>
        </w:r>
      </w:hyperlink>
      <w:r w:rsidRPr="00D44157">
        <w:rPr>
          <w:sz w:val="16"/>
          <w:szCs w:val="16"/>
        </w:rPr>
        <w:t>.</w:t>
      </w:r>
      <w:bookmarkEnd w:id="22"/>
    </w:p>
    <w:bookmarkStart w:id="23" w:name="bookmark33"/>
    <w:p w14:paraId="4A5A314B" w14:textId="208FFFD0" w:rsidR="00887103" w:rsidRPr="00D44157" w:rsidRDefault="008D2D99" w:rsidP="000C6EBF">
      <w:pPr>
        <w:pStyle w:val="aa"/>
        <w:numPr>
          <w:ilvl w:val="0"/>
          <w:numId w:val="8"/>
        </w:numPr>
        <w:ind w:left="284" w:hanging="284"/>
        <w:rPr>
          <w:sz w:val="16"/>
          <w:szCs w:val="16"/>
        </w:rPr>
      </w:pPr>
      <w:r w:rsidRPr="00D44157">
        <w:rPr>
          <w:sz w:val="16"/>
          <w:szCs w:val="16"/>
        </w:rPr>
        <w:fldChar w:fldCharType="begin"/>
      </w:r>
      <w:r w:rsidRPr="00D44157">
        <w:rPr>
          <w:sz w:val="16"/>
          <w:szCs w:val="16"/>
        </w:rPr>
        <w:instrText xml:space="preserve"> HYPERLINK "http://refhub.elsevier.com/S0196-0709(20)30258-1/rf0085" </w:instrText>
      </w:r>
      <w:r w:rsidRPr="00D44157">
        <w:rPr>
          <w:sz w:val="16"/>
          <w:szCs w:val="16"/>
        </w:rPr>
        <w:fldChar w:fldCharType="separate"/>
      </w:r>
      <w:r w:rsidR="00737FC5" w:rsidRPr="00D44157">
        <w:rPr>
          <w:color w:val="2B7CA5"/>
          <w:sz w:val="16"/>
          <w:szCs w:val="16"/>
        </w:rPr>
        <w:t>MelzerJ1, Saller R, Schapowal A, Brignoli R. Systematic review of clinical data with</w:t>
      </w:r>
      <w:r w:rsidRPr="00D44157">
        <w:rPr>
          <w:color w:val="2B7CA5"/>
          <w:sz w:val="16"/>
          <w:szCs w:val="16"/>
        </w:rPr>
        <w:fldChar w:fldCharType="end"/>
      </w:r>
      <w:r w:rsidRPr="00D44157">
        <w:rPr>
          <w:color w:val="2B7CA5"/>
          <w:sz w:val="16"/>
          <w:szCs w:val="16"/>
        </w:rPr>
        <w:t xml:space="preserve"> </w:t>
      </w:r>
      <w:hyperlink r:id="rId51" w:history="1">
        <w:r w:rsidRPr="00D44157">
          <w:rPr>
            <w:color w:val="2B7CA5"/>
            <w:sz w:val="16"/>
            <w:szCs w:val="16"/>
          </w:rPr>
          <w:t>BNO-101 (Sinupret) in the treatment of sinusitis. Forsch Komplementmed 2006</w:t>
        </w:r>
      </w:hyperlink>
      <w:r w:rsidRPr="00D44157">
        <w:rPr>
          <w:color w:val="2B7CA5"/>
          <w:sz w:val="16"/>
          <w:szCs w:val="16"/>
        </w:rPr>
        <w:t xml:space="preserve"> </w:t>
      </w:r>
      <w:hyperlink r:id="rId52" w:history="1">
        <w:r w:rsidRPr="00D44157">
          <w:rPr>
            <w:color w:val="2B7CA5"/>
            <w:sz w:val="16"/>
            <w:szCs w:val="16"/>
          </w:rPr>
          <w:t>Apr;13(2):78-87. [Epub 2006 Apr 19]</w:t>
        </w:r>
        <w:r w:rsidRPr="00D44157">
          <w:rPr>
            <w:sz w:val="16"/>
            <w:szCs w:val="16"/>
          </w:rPr>
          <w:t>.</w:t>
        </w:r>
        <w:bookmarkEnd w:id="23"/>
      </w:hyperlink>
    </w:p>
    <w:p w14:paraId="0121EC55" w14:textId="339C31D6" w:rsidR="00887103" w:rsidRPr="00D44157" w:rsidRDefault="00737FC5" w:rsidP="000C6EBF">
      <w:pPr>
        <w:pStyle w:val="aa"/>
        <w:numPr>
          <w:ilvl w:val="0"/>
          <w:numId w:val="8"/>
        </w:numPr>
        <w:ind w:left="284" w:hanging="284"/>
        <w:rPr>
          <w:sz w:val="16"/>
          <w:szCs w:val="16"/>
        </w:rPr>
      </w:pPr>
      <w:bookmarkStart w:id="24" w:name="bookmark34"/>
      <w:r w:rsidRPr="00D44157">
        <w:rPr>
          <w:sz w:val="16"/>
          <w:szCs w:val="16"/>
        </w:rPr>
        <w:t xml:space="preserve">2016. Унифицированный клинический протокол первичной, вторичной (специализированной) и третичной (высокоспециализированной) медицинской помощи «Острый риносинусит», 2016. </w:t>
      </w:r>
      <w:hyperlink r:id="rId53" w:history="1">
        <w:r w:rsidRPr="00D44157">
          <w:rPr>
            <w:color w:val="2B7CA5"/>
            <w:sz w:val="16"/>
            <w:szCs w:val="16"/>
          </w:rPr>
          <w:t>http://mtd.dec.gov.</w:t>
        </w:r>
      </w:hyperlink>
      <w:r w:rsidRPr="00D44157">
        <w:rPr>
          <w:color w:val="2B7CA5"/>
          <w:sz w:val="16"/>
          <w:szCs w:val="16"/>
        </w:rPr>
        <w:t xml:space="preserve"> </w:t>
      </w:r>
      <w:hyperlink r:id="rId54" w:history="1">
        <w:r w:rsidRPr="00D44157">
          <w:rPr>
            <w:color w:val="2B7CA5"/>
            <w:sz w:val="16"/>
            <w:szCs w:val="16"/>
          </w:rPr>
          <w:t>ua/images/dodatki/2016_85_GRS/2016_85_YKPMD_GRS.pdf</w:t>
        </w:r>
      </w:hyperlink>
      <w:r w:rsidRPr="00D44157">
        <w:rPr>
          <w:sz w:val="16"/>
          <w:szCs w:val="16"/>
        </w:rPr>
        <w:t>.</w:t>
      </w:r>
      <w:bookmarkEnd w:id="24"/>
    </w:p>
    <w:sectPr w:rsidR="00887103" w:rsidRPr="00D44157" w:rsidSect="00D44157">
      <w:pgSz w:w="12240" w:h="16834"/>
      <w:pgMar w:top="993" w:right="680" w:bottom="993" w:left="851" w:header="680" w:footer="624" w:gutter="0"/>
      <w:cols w:num="2" w:space="34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BEC4" w14:textId="77777777" w:rsidR="00FD5695" w:rsidRDefault="00FD5695">
      <w:r>
        <w:separator/>
      </w:r>
    </w:p>
  </w:endnote>
  <w:endnote w:type="continuationSeparator" w:id="0">
    <w:p w14:paraId="76E7B3E2" w14:textId="77777777" w:rsidR="00FD5695" w:rsidRDefault="00FD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266C8" w14:textId="77777777" w:rsidR="00EB50F8" w:rsidRPr="00C6419B" w:rsidRDefault="00EB50F8" w:rsidP="00B22482">
    <w:pPr>
      <w:spacing w:before="180"/>
      <w:rPr>
        <w:color w:val="007FAB"/>
        <w:sz w:val="16"/>
        <w:szCs w:val="16"/>
      </w:rPr>
    </w:pPr>
    <w:r>
      <w:rPr>
        <w:color w:val="007FAB"/>
        <w:sz w:val="16"/>
        <w:szCs w:val="16"/>
      </w:rPr>
      <w:t>https://doi.org/10.1016/j.amjoto.2020.102564</w:t>
    </w:r>
  </w:p>
  <w:p w14:paraId="26FDEF55" w14:textId="77777777" w:rsidR="00EB50F8" w:rsidRPr="00C6419B" w:rsidRDefault="00EB50F8" w:rsidP="00B22482">
    <w:pPr>
      <w:rPr>
        <w:sz w:val="16"/>
        <w:szCs w:val="16"/>
      </w:rPr>
    </w:pPr>
    <w:r>
      <w:rPr>
        <w:sz w:val="16"/>
        <w:szCs w:val="16"/>
      </w:rPr>
      <w:t>Получено 26 февраля 2020 г.</w:t>
    </w:r>
  </w:p>
  <w:p w14:paraId="76D36033" w14:textId="77777777" w:rsidR="00EB50F8" w:rsidRPr="00C6419B" w:rsidRDefault="00EB50F8" w:rsidP="00B22482">
    <w:pPr>
      <w:rPr>
        <w:sz w:val="16"/>
        <w:szCs w:val="16"/>
      </w:rPr>
    </w:pPr>
    <w:r>
      <w:rPr>
        <w:sz w:val="16"/>
        <w:szCs w:val="16"/>
      </w:rPr>
      <w:t>0196-0709/ © 2020 Авторы. Опубликовано Elsevier Inc. Эта статья находится в открытом доступе на условиях лицензии CC BY-NC-ND.</w:t>
    </w:r>
  </w:p>
  <w:p w14:paraId="261E79F1" w14:textId="77777777" w:rsidR="00EB50F8" w:rsidRPr="00C6419B" w:rsidRDefault="00EB50F8" w:rsidP="00B22482">
    <w:pPr>
      <w:rPr>
        <w:sz w:val="16"/>
        <w:szCs w:val="16"/>
      </w:rPr>
    </w:pPr>
    <w:r>
      <w:rPr>
        <w:sz w:val="16"/>
        <w:szCs w:val="16"/>
      </w:rPr>
      <w:t>(http://creativecommons.org/licenses/BY-NC-ND/4.0/).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F33B" w14:textId="5556198B" w:rsidR="00EB50F8" w:rsidRPr="004F6FE8" w:rsidRDefault="00EB50F8" w:rsidP="004F6FE8">
    <w:pPr>
      <w:pStyle w:val="a5"/>
      <w:jc w:val="center"/>
      <w:rPr>
        <w:sz w:val="14"/>
        <w:szCs w:val="20"/>
      </w:rPr>
    </w:pPr>
    <w:r w:rsidRPr="004F6FE8">
      <w:rPr>
        <w:sz w:val="14"/>
        <w:szCs w:val="20"/>
      </w:rPr>
      <w:fldChar w:fldCharType="begin"/>
    </w:r>
    <w:r w:rsidRPr="004F6FE8">
      <w:rPr>
        <w:sz w:val="14"/>
        <w:szCs w:val="20"/>
      </w:rPr>
      <w:instrText xml:space="preserve"> PAGE   \* MERGEFORMAT </w:instrText>
    </w:r>
    <w:r w:rsidRPr="004F6FE8">
      <w:rPr>
        <w:sz w:val="14"/>
        <w:szCs w:val="20"/>
      </w:rPr>
      <w:fldChar w:fldCharType="separate"/>
    </w:r>
    <w:r w:rsidR="00DC3143">
      <w:rPr>
        <w:noProof/>
        <w:sz w:val="14"/>
        <w:szCs w:val="20"/>
      </w:rPr>
      <w:t>8</w:t>
    </w:r>
    <w:r w:rsidRPr="004F6FE8">
      <w:rPr>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9A870" w14:textId="77777777" w:rsidR="00FD5695" w:rsidRDefault="00FD5695">
      <w:r>
        <w:separator/>
      </w:r>
    </w:p>
  </w:footnote>
  <w:footnote w:type="continuationSeparator" w:id="0">
    <w:p w14:paraId="25567EE2" w14:textId="77777777" w:rsidR="00FD5695" w:rsidRDefault="00FD5695"/>
  </w:footnote>
  <w:footnote w:id="1">
    <w:p w14:paraId="011FE6E7" w14:textId="5D583BB4" w:rsidR="00EB50F8" w:rsidRPr="000E6B28" w:rsidRDefault="00EB50F8" w:rsidP="00B22482">
      <w:pPr>
        <w:pStyle w:val="a7"/>
        <w:ind w:left="142"/>
        <w:rPr>
          <w:sz w:val="18"/>
          <w:szCs w:val="18"/>
        </w:rPr>
      </w:pPr>
      <w:r>
        <w:rPr>
          <w:rStyle w:val="a9"/>
        </w:rPr>
        <w:footnoteRef/>
      </w:r>
      <w:r>
        <w:rPr>
          <w:lang w:val="en-US"/>
        </w:rPr>
        <w:t xml:space="preserve"> </w:t>
      </w:r>
      <w:r>
        <w:t>Автор, ответственный за переписку.</w:t>
      </w:r>
    </w:p>
    <w:p w14:paraId="3FE9D787" w14:textId="77777777" w:rsidR="00EB50F8" w:rsidRDefault="00EB50F8" w:rsidP="00B22482">
      <w:pPr>
        <w:pStyle w:val="a7"/>
        <w:ind w:left="284"/>
      </w:pPr>
      <w:r>
        <w:rPr>
          <w:i/>
          <w:iCs/>
          <w:sz w:val="18"/>
          <w:szCs w:val="18"/>
        </w:rPr>
        <w:t>Эл. почта:</w:t>
      </w:r>
      <w:r>
        <w:rPr>
          <w:sz w:val="18"/>
          <w:szCs w:val="18"/>
        </w:rPr>
        <w:t xml:space="preserve"> </w:t>
      </w:r>
      <w:r>
        <w:rPr>
          <w:color w:val="007FAB"/>
          <w:sz w:val="18"/>
          <w:szCs w:val="18"/>
        </w:rPr>
        <w:t>popovych_ent@ukr.net</w:t>
      </w:r>
      <w:r>
        <w:rPr>
          <w:sz w:val="18"/>
          <w:szCs w:val="18"/>
        </w:rPr>
        <w:t xml:space="preserve"> (В. И. Попович).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tblLayout w:type="fixed"/>
      <w:tblCellMar>
        <w:left w:w="10" w:type="dxa"/>
        <w:right w:w="10" w:type="dxa"/>
      </w:tblCellMar>
      <w:tblLook w:val="0000" w:firstRow="0" w:lastRow="0" w:firstColumn="0" w:lastColumn="0" w:noHBand="0" w:noVBand="0"/>
    </w:tblPr>
    <w:tblGrid>
      <w:gridCol w:w="5529"/>
      <w:gridCol w:w="5180"/>
    </w:tblGrid>
    <w:tr w:rsidR="00EB50F8" w:rsidRPr="00EC3D27" w14:paraId="444C58AB" w14:textId="77777777" w:rsidTr="008D2D99">
      <w:trPr>
        <w:cantSplit/>
      </w:trPr>
      <w:tc>
        <w:tcPr>
          <w:tcW w:w="5529" w:type="dxa"/>
          <w:shd w:val="clear" w:color="auto" w:fill="auto"/>
          <w:vAlign w:val="center"/>
        </w:tcPr>
        <w:p w14:paraId="20B8A50E" w14:textId="77777777" w:rsidR="00EB50F8" w:rsidRPr="00336B55" w:rsidRDefault="00EB50F8" w:rsidP="004F6FE8">
          <w:pPr>
            <w:rPr>
              <w:sz w:val="14"/>
              <w:szCs w:val="22"/>
            </w:rPr>
          </w:pPr>
          <w:r>
            <w:rPr>
              <w:i/>
              <w:iCs/>
              <w:sz w:val="14"/>
              <w:szCs w:val="22"/>
            </w:rPr>
            <w:t>В. И. Попович и др.</w:t>
          </w:r>
        </w:p>
      </w:tc>
      <w:tc>
        <w:tcPr>
          <w:tcW w:w="5180" w:type="dxa"/>
          <w:shd w:val="clear" w:color="auto" w:fill="auto"/>
          <w:vAlign w:val="center"/>
        </w:tcPr>
        <w:p w14:paraId="66A0DD08" w14:textId="77777777" w:rsidR="00EB50F8" w:rsidRPr="00EC3D27" w:rsidRDefault="00EB50F8" w:rsidP="004F6FE8">
          <w:pPr>
            <w:jc w:val="right"/>
            <w:rPr>
              <w:sz w:val="14"/>
              <w:szCs w:val="22"/>
            </w:rPr>
          </w:pPr>
          <w:r>
            <w:rPr>
              <w:i/>
              <w:iCs/>
              <w:sz w:val="14"/>
              <w:szCs w:val="22"/>
            </w:rPr>
            <w:t>Am J Otolaryngol 41 (2020) 102564</w:t>
          </w:r>
        </w:p>
      </w:tc>
    </w:tr>
  </w:tbl>
  <w:p w14:paraId="17ADBDD8" w14:textId="77777777" w:rsidR="00EB50F8" w:rsidRDefault="00EB50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17"/>
    <w:multiLevelType w:val="hybridMultilevel"/>
    <w:tmpl w:val="06BE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26AE8"/>
    <w:multiLevelType w:val="multilevel"/>
    <w:tmpl w:val="CA34E006"/>
    <w:lvl w:ilvl="0">
      <w:start w:val="1"/>
      <w:numFmt w:val="decimal"/>
      <w:pStyle w:val="Style1"/>
      <w:lvlText w:val="%1."/>
      <w:lvlJc w:val="left"/>
      <w:pPr>
        <w:ind w:left="720" w:hanging="360"/>
      </w:pPr>
      <w:rPr>
        <w:rFonts w:hint="default"/>
      </w:rPr>
    </w:lvl>
    <w:lvl w:ilvl="1">
      <w:start w:val="1"/>
      <w:numFmt w:val="decimal"/>
      <w:pStyle w:val="Styl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71D4DD0"/>
    <w:multiLevelType w:val="hybridMultilevel"/>
    <w:tmpl w:val="B71AE8D2"/>
    <w:lvl w:ilvl="0" w:tplc="5F36112E">
      <w:start w:val="2"/>
      <w:numFmt w:val="bullet"/>
      <w:lvlText w:val="-"/>
      <w:lvlJc w:val="left"/>
      <w:pPr>
        <w:ind w:left="928" w:hanging="360"/>
      </w:pPr>
      <w:rPr>
        <w:rFonts w:ascii="Times New Roman" w:eastAsia="Microsoft Sans Serif"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FBF38DF"/>
    <w:multiLevelType w:val="hybridMultilevel"/>
    <w:tmpl w:val="12745C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4C72B10"/>
    <w:multiLevelType w:val="hybridMultilevel"/>
    <w:tmpl w:val="7A325244"/>
    <w:lvl w:ilvl="0" w:tplc="5F36112E">
      <w:start w:val="2"/>
      <w:numFmt w:val="bullet"/>
      <w:lvlText w:val="-"/>
      <w:lvlJc w:val="left"/>
      <w:pPr>
        <w:ind w:left="928" w:hanging="360"/>
      </w:pPr>
      <w:rPr>
        <w:rFonts w:ascii="Times New Roman" w:eastAsia="Microsoft Sans Serif"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1C55C29"/>
    <w:multiLevelType w:val="hybridMultilevel"/>
    <w:tmpl w:val="BE684A8A"/>
    <w:lvl w:ilvl="0" w:tplc="5F36112E">
      <w:start w:val="2"/>
      <w:numFmt w:val="bullet"/>
      <w:lvlText w:val="-"/>
      <w:lvlJc w:val="left"/>
      <w:pPr>
        <w:ind w:left="644"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94646"/>
    <w:multiLevelType w:val="hybridMultilevel"/>
    <w:tmpl w:val="256AC790"/>
    <w:lvl w:ilvl="0" w:tplc="CA44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F5A8D"/>
    <w:multiLevelType w:val="hybridMultilevel"/>
    <w:tmpl w:val="742AD958"/>
    <w:lvl w:ilvl="0" w:tplc="5F36112E">
      <w:start w:val="2"/>
      <w:numFmt w:val="bullet"/>
      <w:lvlText w:val="-"/>
      <w:lvlJc w:val="left"/>
      <w:pPr>
        <w:ind w:left="644" w:hanging="360"/>
      </w:pPr>
      <w:rPr>
        <w:rFonts w:ascii="Times New Roman" w:eastAsia="Microsoft Sans Serif"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03"/>
    <w:rsid w:val="00017F18"/>
    <w:rsid w:val="00022C05"/>
    <w:rsid w:val="00097704"/>
    <w:rsid w:val="000C6EBF"/>
    <w:rsid w:val="000E0A55"/>
    <w:rsid w:val="000F4D1F"/>
    <w:rsid w:val="00123D88"/>
    <w:rsid w:val="0025332E"/>
    <w:rsid w:val="002671B9"/>
    <w:rsid w:val="003352E3"/>
    <w:rsid w:val="00335FDA"/>
    <w:rsid w:val="00342DEA"/>
    <w:rsid w:val="003463DE"/>
    <w:rsid w:val="00346ED0"/>
    <w:rsid w:val="00434157"/>
    <w:rsid w:val="00450855"/>
    <w:rsid w:val="004A781E"/>
    <w:rsid w:val="004C6E27"/>
    <w:rsid w:val="004F6FE8"/>
    <w:rsid w:val="005E5E05"/>
    <w:rsid w:val="006B18E8"/>
    <w:rsid w:val="006B758A"/>
    <w:rsid w:val="006D1BC4"/>
    <w:rsid w:val="00732819"/>
    <w:rsid w:val="007379AA"/>
    <w:rsid w:val="00737FC5"/>
    <w:rsid w:val="007469C0"/>
    <w:rsid w:val="0077581E"/>
    <w:rsid w:val="00780478"/>
    <w:rsid w:val="007B62C8"/>
    <w:rsid w:val="007B6C84"/>
    <w:rsid w:val="007C278A"/>
    <w:rsid w:val="007C7BD2"/>
    <w:rsid w:val="00861F20"/>
    <w:rsid w:val="00872777"/>
    <w:rsid w:val="00887103"/>
    <w:rsid w:val="008D2D99"/>
    <w:rsid w:val="00903C4B"/>
    <w:rsid w:val="00927F50"/>
    <w:rsid w:val="00950566"/>
    <w:rsid w:val="0097224F"/>
    <w:rsid w:val="00A0016B"/>
    <w:rsid w:val="00A46057"/>
    <w:rsid w:val="00AA2E39"/>
    <w:rsid w:val="00AA7012"/>
    <w:rsid w:val="00AE2A69"/>
    <w:rsid w:val="00AF280A"/>
    <w:rsid w:val="00B22482"/>
    <w:rsid w:val="00BA0548"/>
    <w:rsid w:val="00BD602F"/>
    <w:rsid w:val="00BF513D"/>
    <w:rsid w:val="00C6419B"/>
    <w:rsid w:val="00C66A0A"/>
    <w:rsid w:val="00C7525B"/>
    <w:rsid w:val="00C95B3B"/>
    <w:rsid w:val="00D2416A"/>
    <w:rsid w:val="00D44157"/>
    <w:rsid w:val="00DC3143"/>
    <w:rsid w:val="00DD02B1"/>
    <w:rsid w:val="00DE4BC7"/>
    <w:rsid w:val="00DF36F2"/>
    <w:rsid w:val="00EB50F8"/>
    <w:rsid w:val="00F03C2C"/>
    <w:rsid w:val="00F3170A"/>
    <w:rsid w:val="00F730B8"/>
    <w:rsid w:val="00FD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70F0"/>
  <w15:docId w15:val="{C448D67E-2BE2-42F1-8186-C0ACB4F0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482"/>
    <w:pPr>
      <w:jc w:val="both"/>
    </w:pPr>
    <w:rPr>
      <w:rFonts w:ascii="Times New Roman" w:hAnsi="Times New Roman"/>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482"/>
    <w:pPr>
      <w:tabs>
        <w:tab w:val="center" w:pos="4844"/>
        <w:tab w:val="right" w:pos="9689"/>
      </w:tabs>
    </w:pPr>
  </w:style>
  <w:style w:type="character" w:customStyle="1" w:styleId="a4">
    <w:name w:val="Верхний колонтитул Знак"/>
    <w:basedOn w:val="a0"/>
    <w:link w:val="a3"/>
    <w:uiPriority w:val="99"/>
    <w:rsid w:val="00B22482"/>
    <w:rPr>
      <w:rFonts w:ascii="Times New Roman" w:hAnsi="Times New Roman"/>
      <w:color w:val="000000"/>
      <w:sz w:val="18"/>
    </w:rPr>
  </w:style>
  <w:style w:type="paragraph" w:styleId="a5">
    <w:name w:val="footer"/>
    <w:basedOn w:val="a"/>
    <w:link w:val="a6"/>
    <w:uiPriority w:val="99"/>
    <w:unhideWhenUsed/>
    <w:rsid w:val="00B22482"/>
    <w:pPr>
      <w:tabs>
        <w:tab w:val="center" w:pos="4844"/>
        <w:tab w:val="right" w:pos="9689"/>
      </w:tabs>
    </w:pPr>
  </w:style>
  <w:style w:type="character" w:customStyle="1" w:styleId="a6">
    <w:name w:val="Нижний колонтитул Знак"/>
    <w:basedOn w:val="a0"/>
    <w:link w:val="a5"/>
    <w:uiPriority w:val="99"/>
    <w:rsid w:val="00B22482"/>
    <w:rPr>
      <w:rFonts w:ascii="Times New Roman" w:hAnsi="Times New Roman"/>
      <w:color w:val="000000"/>
      <w:sz w:val="18"/>
    </w:rPr>
  </w:style>
  <w:style w:type="paragraph" w:styleId="a7">
    <w:name w:val="footnote text"/>
    <w:basedOn w:val="a"/>
    <w:link w:val="a8"/>
    <w:uiPriority w:val="99"/>
    <w:semiHidden/>
    <w:unhideWhenUsed/>
    <w:rsid w:val="00B22482"/>
    <w:rPr>
      <w:sz w:val="20"/>
      <w:szCs w:val="20"/>
    </w:rPr>
  </w:style>
  <w:style w:type="character" w:customStyle="1" w:styleId="a8">
    <w:name w:val="Текст сноски Знак"/>
    <w:basedOn w:val="a0"/>
    <w:link w:val="a7"/>
    <w:uiPriority w:val="99"/>
    <w:semiHidden/>
    <w:rsid w:val="00B22482"/>
    <w:rPr>
      <w:rFonts w:ascii="Times New Roman" w:hAnsi="Times New Roman"/>
      <w:color w:val="000000"/>
      <w:sz w:val="20"/>
      <w:szCs w:val="20"/>
    </w:rPr>
  </w:style>
  <w:style w:type="character" w:styleId="a9">
    <w:name w:val="footnote reference"/>
    <w:basedOn w:val="a0"/>
    <w:uiPriority w:val="99"/>
    <w:semiHidden/>
    <w:unhideWhenUsed/>
    <w:rsid w:val="00B22482"/>
    <w:rPr>
      <w:vertAlign w:val="superscript"/>
    </w:rPr>
  </w:style>
  <w:style w:type="paragraph" w:styleId="aa">
    <w:name w:val="List Paragraph"/>
    <w:basedOn w:val="a"/>
    <w:link w:val="ab"/>
    <w:uiPriority w:val="34"/>
    <w:qFormat/>
    <w:rsid w:val="00732819"/>
    <w:pPr>
      <w:ind w:left="720"/>
      <w:contextualSpacing/>
    </w:pPr>
  </w:style>
  <w:style w:type="paragraph" w:customStyle="1" w:styleId="Style1">
    <w:name w:val="Style1"/>
    <w:basedOn w:val="aa"/>
    <w:link w:val="Style1Char"/>
    <w:qFormat/>
    <w:rsid w:val="00732819"/>
    <w:pPr>
      <w:numPr>
        <w:numId w:val="2"/>
      </w:numPr>
      <w:spacing w:before="240" w:after="240"/>
      <w:ind w:left="567" w:hanging="567"/>
    </w:pPr>
    <w:rPr>
      <w:b/>
      <w:bCs/>
    </w:rPr>
  </w:style>
  <w:style w:type="paragraph" w:customStyle="1" w:styleId="Style2">
    <w:name w:val="Style2"/>
    <w:basedOn w:val="aa"/>
    <w:link w:val="Style2Char"/>
    <w:qFormat/>
    <w:rsid w:val="00732819"/>
    <w:pPr>
      <w:numPr>
        <w:ilvl w:val="1"/>
        <w:numId w:val="2"/>
      </w:numPr>
      <w:spacing w:before="240" w:after="240"/>
      <w:ind w:left="567" w:hanging="567"/>
    </w:pPr>
    <w:rPr>
      <w:i/>
      <w:iCs/>
    </w:rPr>
  </w:style>
  <w:style w:type="character" w:customStyle="1" w:styleId="ab">
    <w:name w:val="Абзац списка Знак"/>
    <w:basedOn w:val="a0"/>
    <w:link w:val="aa"/>
    <w:uiPriority w:val="34"/>
    <w:rsid w:val="00732819"/>
    <w:rPr>
      <w:rFonts w:ascii="Times New Roman" w:hAnsi="Times New Roman"/>
      <w:color w:val="000000"/>
      <w:sz w:val="18"/>
    </w:rPr>
  </w:style>
  <w:style w:type="character" w:customStyle="1" w:styleId="Style1Char">
    <w:name w:val="Style1 Char"/>
    <w:basedOn w:val="ab"/>
    <w:link w:val="Style1"/>
    <w:rsid w:val="00732819"/>
    <w:rPr>
      <w:rFonts w:ascii="Times New Roman" w:hAnsi="Times New Roman"/>
      <w:b/>
      <w:bCs/>
      <w:color w:val="000000"/>
      <w:sz w:val="18"/>
    </w:rPr>
  </w:style>
  <w:style w:type="table" w:styleId="ac">
    <w:name w:val="Table Grid"/>
    <w:basedOn w:val="a1"/>
    <w:uiPriority w:val="39"/>
    <w:rsid w:val="0034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basedOn w:val="ab"/>
    <w:link w:val="Style2"/>
    <w:rsid w:val="00732819"/>
    <w:rPr>
      <w:rFonts w:ascii="Times New Roman" w:hAnsi="Times New Roman"/>
      <w:i/>
      <w:iCs/>
      <w:color w:val="000000"/>
      <w:sz w:val="18"/>
    </w:rPr>
  </w:style>
  <w:style w:type="character" w:styleId="ad">
    <w:name w:val="Hyperlink"/>
    <w:basedOn w:val="a0"/>
    <w:uiPriority w:val="99"/>
    <w:unhideWhenUsed/>
    <w:rsid w:val="000C6EBF"/>
    <w:rPr>
      <w:color w:val="0563C1" w:themeColor="hyperlink"/>
      <w:u w:val="single"/>
    </w:rPr>
  </w:style>
  <w:style w:type="character" w:customStyle="1" w:styleId="UnresolvedMention">
    <w:name w:val="Unresolved Mention"/>
    <w:basedOn w:val="a0"/>
    <w:uiPriority w:val="99"/>
    <w:semiHidden/>
    <w:unhideWhenUsed/>
    <w:rsid w:val="000C6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hyperlink" Target="http://refhub.elsevier.com/S0196-0709(20)30258-1/rf5208" TargetMode="External"/><Relationship Id="rId39" Type="http://schemas.openxmlformats.org/officeDocument/2006/relationships/hyperlink" Target="http://refhub.elsevier.com/S0196-0709(20)30258-1/rf0050" TargetMode="External"/><Relationship Id="rId21" Type="http://schemas.openxmlformats.org/officeDocument/2006/relationships/hyperlink" Target="http://refhub.elsevier.com/S0196-0709(20)30258-1/rf0010" TargetMode="External"/><Relationship Id="rId34" Type="http://schemas.openxmlformats.org/officeDocument/2006/relationships/hyperlink" Target="http://refhub.elsevier.com/S0196-0709(20)30258-1/rf0035" TargetMode="External"/><Relationship Id="rId42" Type="http://schemas.openxmlformats.org/officeDocument/2006/relationships/hyperlink" Target="http://refhub.elsevier.com/S0196-0709(20)30258-1/rf0055" TargetMode="External"/><Relationship Id="rId47" Type="http://schemas.openxmlformats.org/officeDocument/2006/relationships/hyperlink" Target="http://refhub.elsevier.com/S0196-0709(20)30258-1/rf0070" TargetMode="External"/><Relationship Id="rId50" Type="http://schemas.openxmlformats.org/officeDocument/2006/relationships/hyperlink" Target="https://doi.org/10.1186/s40816-017-0047-6"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wmf"/><Relationship Id="rId25" Type="http://schemas.openxmlformats.org/officeDocument/2006/relationships/hyperlink" Target="http://refhub.elsevier.com/S0196-0709(20)30258-1/rf5208" TargetMode="External"/><Relationship Id="rId33" Type="http://schemas.openxmlformats.org/officeDocument/2006/relationships/hyperlink" Target="http://refhub.elsevier.com/S0196-0709(20)30258-1/rf0035" TargetMode="External"/><Relationship Id="rId38" Type="http://schemas.openxmlformats.org/officeDocument/2006/relationships/hyperlink" Target="http://refhub.elsevier.com/S0196-0709(20)30258-1/rf0050" TargetMode="External"/><Relationship Id="rId46" Type="http://schemas.openxmlformats.org/officeDocument/2006/relationships/hyperlink" Target="http://refhub.elsevier.com/S0196-0709(20)30258-1/rf0070"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refhub.elsevier.com/S0196-0709(20)30258-1/rf0010" TargetMode="External"/><Relationship Id="rId29" Type="http://schemas.openxmlformats.org/officeDocument/2006/relationships/hyperlink" Target="http://refhub.elsevier.com/S0196-0709(20)30258-1/rf5208" TargetMode="External"/><Relationship Id="rId41" Type="http://schemas.openxmlformats.org/officeDocument/2006/relationships/hyperlink" Target="http://refhub.elsevier.com/S0196-0709(20)30258-1/rf0055" TargetMode="External"/><Relationship Id="rId54" Type="http://schemas.openxmlformats.org/officeDocument/2006/relationships/hyperlink" Target="http://mtd.dec.gov.ua/images/dodatki/2016_85_GRS/2016_85_YKPMD_G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15675769" TargetMode="External"/><Relationship Id="rId24" Type="http://schemas.openxmlformats.org/officeDocument/2006/relationships/hyperlink" Target="http://refhub.elsevier.com/S0196-0709(20)30258-1/rf5208" TargetMode="External"/><Relationship Id="rId32" Type="http://schemas.openxmlformats.org/officeDocument/2006/relationships/hyperlink" Target="https://www.cochranelibrary.com/cdsr/doi/10.1002/14651858.CD004417.pub5/full" TargetMode="External"/><Relationship Id="rId37" Type="http://schemas.openxmlformats.org/officeDocument/2006/relationships/hyperlink" Target="https://www.ncbi.nlm.nih.gov/pubmed/18005909" TargetMode="External"/><Relationship Id="rId40" Type="http://schemas.openxmlformats.org/officeDocument/2006/relationships/hyperlink" Target="http://refhub.elsevier.com/S0196-0709(20)30258-1/rf0050" TargetMode="External"/><Relationship Id="rId45" Type="http://schemas.openxmlformats.org/officeDocument/2006/relationships/hyperlink" Target="http://refhub.elsevier.com/S0196-0709(20)30258-1/rf0070" TargetMode="External"/><Relationship Id="rId53" Type="http://schemas.openxmlformats.org/officeDocument/2006/relationships/hyperlink" Target="http://mtd.dec.gov.ua/images/dodatki/2016_85_GRS/2016_85_YKPMD_GRS.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refhub.elsevier.com/S0196-0709(20)30258-1/rf0020" TargetMode="External"/><Relationship Id="rId28" Type="http://schemas.openxmlformats.org/officeDocument/2006/relationships/hyperlink" Target="http://refhub.elsevier.com/S0196-0709(20)30258-1/rf5208" TargetMode="External"/><Relationship Id="rId36" Type="http://schemas.openxmlformats.org/officeDocument/2006/relationships/hyperlink" Target="https://www.ncbi.nlm.nih.gov/pubmed/17011407" TargetMode="External"/><Relationship Id="rId49" Type="http://schemas.openxmlformats.org/officeDocument/2006/relationships/hyperlink" Target="https://doi.org/10.1186/s40816-017-0047-6" TargetMode="External"/><Relationship Id="rId10" Type="http://schemas.openxmlformats.org/officeDocument/2006/relationships/image" Target="media/image2.png"/><Relationship Id="rId19" Type="http://schemas.openxmlformats.org/officeDocument/2006/relationships/hyperlink" Target="http://refhub.elsevier.com/S0196-0709(20)30258-1/rf0005" TargetMode="External"/><Relationship Id="rId31" Type="http://schemas.openxmlformats.org/officeDocument/2006/relationships/hyperlink" Target="https://www.cochranelibrary.com/cdsr/doi/10.1002/14651858.CD004417.pub5/full" TargetMode="External"/><Relationship Id="rId44" Type="http://schemas.openxmlformats.org/officeDocument/2006/relationships/hyperlink" Target="https://doi.org/10.1016/j.phymed.2011.10.010" TargetMode="External"/><Relationship Id="rId52" Type="http://schemas.openxmlformats.org/officeDocument/2006/relationships/hyperlink" Target="http://refhub.elsevier.com/S0196-0709(20)30258-1/rf008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s://doi.org/10.1136/bmj.f2687" TargetMode="External"/><Relationship Id="rId27" Type="http://schemas.openxmlformats.org/officeDocument/2006/relationships/hyperlink" Target="http://refhub.elsevier.com/S0196-0709(20)30258-1/rf5208" TargetMode="External"/><Relationship Id="rId30" Type="http://schemas.openxmlformats.org/officeDocument/2006/relationships/hyperlink" Target="https://doi.org/10.5694/mja16.01042" TargetMode="External"/><Relationship Id="rId35" Type="http://schemas.openxmlformats.org/officeDocument/2006/relationships/hyperlink" Target="https://www.ncbi.nlm.nih.gov/pubmed/17011407" TargetMode="External"/><Relationship Id="rId43" Type="http://schemas.openxmlformats.org/officeDocument/2006/relationships/hyperlink" Target="http://refhub.elsevier.com/S0196-0709(20)30258-1/rf0060" TargetMode="External"/><Relationship Id="rId48" Type="http://schemas.openxmlformats.org/officeDocument/2006/relationships/hyperlink" Target="https://doi.org/10.1186/s40816-018-0082-y" TargetMode="External"/><Relationship Id="rId56" Type="http://schemas.openxmlformats.org/officeDocument/2006/relationships/theme" Target="theme/theme1.xml"/><Relationship Id="rId8" Type="http://schemas.openxmlformats.org/officeDocument/2006/relationships/hyperlink" Target="https://doi.org/10.1016/j.intimp.2018.03.018" TargetMode="External"/><Relationship Id="rId51" Type="http://schemas.openxmlformats.org/officeDocument/2006/relationships/hyperlink" Target="http://refhub.elsevier.com/S0196-0709(20)30258-1/rf008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27B64-B4D2-47DD-91B5-DDBA5B6F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7851</Words>
  <Characters>44751</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 open-label, multicentre, randomized comparative study of efficacy, safety and tolerability of the 5 plant - extract BNO 1012 in the Delayed Antibiotic Prescription Method in children, aged 6 to 11 years with acute viral and post-viral rhinosinusitis</vt:lpstr>
      <vt:lpstr>An open-label, multicentre, randomized comparative study of efficacy, safety and tolerability of the 5 plant - extract BNO 1012 in the Delayed Antibiotic Prescription Method in children, aged 6 to 11 years with acute viral and post-viral rhinosinusitis</vt:lpstr>
    </vt:vector>
  </TitlesOfParts>
  <Company/>
  <LinksUpToDate>false</LinksUpToDate>
  <CharactersWithSpaces>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open-label, multicentre, randomized comparative study of efficacy, safety and tolerability of the 5 plant - extract BNO 1012 in the Delayed Antibiotic Prescription Method in children, aged 6 to 11 years with acute viral and post-viral rhinosinusitis</dc:title>
  <dc:subject>Am J Otolaryngol, 41 (2020) 102564. doi:10.1016/j.amjoto.2020.102564</dc:subject>
  <dc:creator>Vasyl I. Popovych</dc:creator>
  <cp:keywords>Acute viral rhinosinusitis; Post-viral rhinosinusitis; Phytoextract; Therapeutic benefit; </cp:keywords>
  <cp:lastModifiedBy>qa3</cp:lastModifiedBy>
  <cp:revision>57</cp:revision>
  <dcterms:created xsi:type="dcterms:W3CDTF">2020-08-18T15:38:00Z</dcterms:created>
  <dcterms:modified xsi:type="dcterms:W3CDTF">2020-09-14T12:55:00Z</dcterms:modified>
</cp:coreProperties>
</file>